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96" w:rsidRPr="00C07AF7" w:rsidRDefault="00C07AF7" w:rsidP="00732196">
      <w:pPr>
        <w:spacing w:before="100" w:beforeAutospacing="1" w:after="100" w:afterAutospacing="1" w:line="240" w:lineRule="auto"/>
        <w:rPr>
          <w:rFonts w:ascii="Times New Roman" w:eastAsia="Times New Roman" w:hAnsi="Times New Roman" w:cs="Times New Roman"/>
          <w:b/>
          <w:sz w:val="36"/>
          <w:szCs w:val="36"/>
          <w:lang w:eastAsia="en-IE"/>
        </w:rPr>
      </w:pPr>
      <w:r w:rsidRPr="00C07AF7">
        <w:rPr>
          <w:rFonts w:ascii="Times New Roman" w:eastAsia="Times New Roman" w:hAnsi="Times New Roman" w:cs="Times New Roman"/>
          <w:b/>
          <w:sz w:val="36"/>
          <w:szCs w:val="36"/>
          <w:lang w:eastAsia="en-IE"/>
        </w:rPr>
        <w:t>Health Insurance Levy/ Risk Equalisation</w:t>
      </w:r>
    </w:p>
    <w:p w:rsidR="00732196" w:rsidRPr="00732196" w:rsidRDefault="00732196"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732196">
        <w:rPr>
          <w:rFonts w:ascii="Times New Roman" w:eastAsia="Times New Roman" w:hAnsi="Times New Roman" w:cs="Times New Roman"/>
          <w:b/>
          <w:bCs/>
          <w:sz w:val="36"/>
          <w:szCs w:val="36"/>
          <w:lang w:eastAsia="en-IE"/>
        </w:rPr>
        <w:t>Background</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Health insurance claims costs increase with age. The average prescribed claims co</w:t>
      </w:r>
      <w:r w:rsidR="007450B5">
        <w:rPr>
          <w:rFonts w:ascii="Times New Roman" w:eastAsia="Times New Roman" w:hAnsi="Times New Roman" w:cs="Times New Roman"/>
          <w:sz w:val="24"/>
          <w:szCs w:val="24"/>
          <w:lang w:eastAsia="en-IE"/>
        </w:rPr>
        <w:t>st for people aged 70-79 in 2015 was €3,204 compared to €311</w:t>
      </w:r>
      <w:r w:rsidRPr="00732196">
        <w:rPr>
          <w:rFonts w:ascii="Times New Roman" w:eastAsia="Times New Roman" w:hAnsi="Times New Roman" w:cs="Times New Roman"/>
          <w:sz w:val="24"/>
          <w:szCs w:val="24"/>
          <w:lang w:eastAsia="en-IE"/>
        </w:rPr>
        <w:t xml:space="preserve"> for those aged 18-29. </w:t>
      </w:r>
      <w:proofErr w:type="spellStart"/>
      <w:r w:rsidRPr="00732196">
        <w:rPr>
          <w:rFonts w:ascii="Times New Roman" w:eastAsia="Times New Roman" w:hAnsi="Times New Roman" w:cs="Times New Roman"/>
          <w:sz w:val="24"/>
          <w:szCs w:val="24"/>
          <w:lang w:eastAsia="en-IE"/>
        </w:rPr>
        <w:t>Vhi</w:t>
      </w:r>
      <w:proofErr w:type="spellEnd"/>
      <w:r w:rsidRPr="00732196">
        <w:rPr>
          <w:rFonts w:ascii="Times New Roman" w:eastAsia="Times New Roman" w:hAnsi="Times New Roman" w:cs="Times New Roman"/>
          <w:sz w:val="24"/>
          <w:szCs w:val="24"/>
          <w:lang w:eastAsia="en-IE"/>
        </w:rPr>
        <w:t xml:space="preserve"> Healthcare has a much higher proportion of older lives than Aviva Health, </w:t>
      </w:r>
      <w:proofErr w:type="spellStart"/>
      <w:r w:rsidRPr="00732196">
        <w:rPr>
          <w:rFonts w:ascii="Times New Roman" w:eastAsia="Times New Roman" w:hAnsi="Times New Roman" w:cs="Times New Roman"/>
          <w:sz w:val="24"/>
          <w:szCs w:val="24"/>
          <w:lang w:eastAsia="en-IE"/>
        </w:rPr>
        <w:t>Laya</w:t>
      </w:r>
      <w:proofErr w:type="spellEnd"/>
      <w:r w:rsidRPr="00732196">
        <w:rPr>
          <w:rFonts w:ascii="Times New Roman" w:eastAsia="Times New Roman" w:hAnsi="Times New Roman" w:cs="Times New Roman"/>
          <w:sz w:val="24"/>
          <w:szCs w:val="24"/>
          <w:lang w:eastAsia="en-IE"/>
        </w:rPr>
        <w:t xml:space="preserve"> Healthcare or </w:t>
      </w:r>
      <w:proofErr w:type="spellStart"/>
      <w:r w:rsidRPr="00732196">
        <w:rPr>
          <w:rFonts w:ascii="Times New Roman" w:eastAsia="Times New Roman" w:hAnsi="Times New Roman" w:cs="Times New Roman"/>
          <w:sz w:val="24"/>
          <w:szCs w:val="24"/>
          <w:lang w:eastAsia="en-IE"/>
        </w:rPr>
        <w:t>GloHealth</w:t>
      </w:r>
      <w:proofErr w:type="spellEnd"/>
      <w:r w:rsidRPr="00732196">
        <w:rPr>
          <w:rFonts w:ascii="Times New Roman" w:eastAsia="Times New Roman" w:hAnsi="Times New Roman" w:cs="Times New Roman"/>
          <w:sz w:val="24"/>
          <w:szCs w:val="24"/>
          <w:lang w:eastAsia="en-IE"/>
        </w:rPr>
        <w:t xml:space="preserve">. For instance, </w:t>
      </w:r>
      <w:proofErr w:type="spellStart"/>
      <w:r w:rsidR="000C7A01">
        <w:rPr>
          <w:rFonts w:ascii="Times New Roman" w:eastAsia="Times New Roman" w:hAnsi="Times New Roman" w:cs="Times New Roman"/>
          <w:sz w:val="24"/>
          <w:szCs w:val="24"/>
          <w:lang w:eastAsia="en-IE"/>
        </w:rPr>
        <w:t>Vhi</w:t>
      </w:r>
      <w:proofErr w:type="spellEnd"/>
      <w:r w:rsidR="000C7A01">
        <w:rPr>
          <w:rFonts w:ascii="Times New Roman" w:eastAsia="Times New Roman" w:hAnsi="Times New Roman" w:cs="Times New Roman"/>
          <w:sz w:val="24"/>
          <w:szCs w:val="24"/>
          <w:lang w:eastAsia="en-IE"/>
        </w:rPr>
        <w:t xml:space="preserve"> Healthcare, at December 2015, has a 49</w:t>
      </w:r>
      <w:r w:rsidRPr="00732196">
        <w:rPr>
          <w:rFonts w:ascii="Times New Roman" w:eastAsia="Times New Roman" w:hAnsi="Times New Roman" w:cs="Times New Roman"/>
          <w:sz w:val="24"/>
          <w:szCs w:val="24"/>
          <w:lang w:eastAsia="en-IE"/>
        </w:rPr>
        <w:t>% market shar</w:t>
      </w:r>
      <w:r w:rsidR="000C7A01">
        <w:rPr>
          <w:rFonts w:ascii="Times New Roman" w:eastAsia="Times New Roman" w:hAnsi="Times New Roman" w:cs="Times New Roman"/>
          <w:sz w:val="24"/>
          <w:szCs w:val="24"/>
          <w:lang w:eastAsia="en-IE"/>
        </w:rPr>
        <w:t>e in the 0-49 age group and a 83</w:t>
      </w:r>
      <w:r w:rsidRPr="00732196">
        <w:rPr>
          <w:rFonts w:ascii="Times New Roman" w:eastAsia="Times New Roman" w:hAnsi="Times New Roman" w:cs="Times New Roman"/>
          <w:sz w:val="24"/>
          <w:szCs w:val="24"/>
          <w:lang w:eastAsia="en-IE"/>
        </w:rPr>
        <w:t xml:space="preserve">% market share of the over 80's age group. This contributes to </w:t>
      </w:r>
      <w:proofErr w:type="spellStart"/>
      <w:r w:rsidRPr="00732196">
        <w:rPr>
          <w:rFonts w:ascii="Times New Roman" w:eastAsia="Times New Roman" w:hAnsi="Times New Roman" w:cs="Times New Roman"/>
          <w:sz w:val="24"/>
          <w:szCs w:val="24"/>
          <w:lang w:eastAsia="en-IE"/>
        </w:rPr>
        <w:t>Vhi</w:t>
      </w:r>
      <w:proofErr w:type="spellEnd"/>
      <w:r w:rsidRPr="00732196">
        <w:rPr>
          <w:rFonts w:ascii="Times New Roman" w:eastAsia="Times New Roman" w:hAnsi="Times New Roman" w:cs="Times New Roman"/>
          <w:sz w:val="24"/>
          <w:szCs w:val="24"/>
          <w:lang w:eastAsia="en-IE"/>
        </w:rPr>
        <w:t xml:space="preserve"> Healthcare having a higher average claim cost per member than Aviva Health, </w:t>
      </w:r>
      <w:proofErr w:type="spellStart"/>
      <w:r w:rsidRPr="00732196">
        <w:rPr>
          <w:rFonts w:ascii="Times New Roman" w:eastAsia="Times New Roman" w:hAnsi="Times New Roman" w:cs="Times New Roman"/>
          <w:sz w:val="24"/>
          <w:szCs w:val="24"/>
          <w:lang w:eastAsia="en-IE"/>
        </w:rPr>
        <w:t>Laya</w:t>
      </w:r>
      <w:proofErr w:type="spellEnd"/>
      <w:r w:rsidRPr="00732196">
        <w:rPr>
          <w:rFonts w:ascii="Times New Roman" w:eastAsia="Times New Roman" w:hAnsi="Times New Roman" w:cs="Times New Roman"/>
          <w:sz w:val="24"/>
          <w:szCs w:val="24"/>
          <w:lang w:eastAsia="en-IE"/>
        </w:rPr>
        <w:t xml:space="preserve"> Healthcare or </w:t>
      </w:r>
      <w:proofErr w:type="spellStart"/>
      <w:r w:rsidRPr="00732196">
        <w:rPr>
          <w:rFonts w:ascii="Times New Roman" w:eastAsia="Times New Roman" w:hAnsi="Times New Roman" w:cs="Times New Roman"/>
          <w:sz w:val="24"/>
          <w:szCs w:val="24"/>
          <w:lang w:eastAsia="en-IE"/>
        </w:rPr>
        <w:t>GloHealth</w:t>
      </w:r>
      <w:proofErr w:type="spellEnd"/>
      <w:r w:rsidRPr="00732196">
        <w:rPr>
          <w:rFonts w:ascii="Times New Roman" w:eastAsia="Times New Roman" w:hAnsi="Times New Roman" w:cs="Times New Roman"/>
          <w:sz w:val="24"/>
          <w:szCs w:val="24"/>
          <w:lang w:eastAsia="en-IE"/>
        </w:rPr>
        <w:t>.</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Risk equalisation is a process that aims to equitably neutralise differences in insurers' costs that arise due to variations in the age profile of the insurers. Risk equalisation involves transfer payments between health insurers to spread some of the claims cost of the high-risk older and less healthy members amongst all the private health insurers in the market in proportion to their market share. In the absence of an effective risk equalisation system, there is a threat to the existence of a community rated market when significant differences in risk profiles exist between competing insurers. Risk equalisation is a common mechanism in countries with community rated health insurance systems.</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b/>
          <w:bCs/>
          <w:sz w:val="24"/>
          <w:szCs w:val="24"/>
          <w:lang w:eastAsia="en-IE"/>
        </w:rPr>
        <w:t>2006- 2008</w:t>
      </w:r>
      <w:r w:rsidRPr="00732196">
        <w:rPr>
          <w:rFonts w:ascii="Times New Roman" w:eastAsia="Times New Roman" w:hAnsi="Times New Roman" w:cs="Times New Roman"/>
          <w:sz w:val="24"/>
          <w:szCs w:val="24"/>
          <w:lang w:eastAsia="en-IE"/>
        </w:rPr>
        <w:t xml:space="preserve"> </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Health Insurance Authority recommended to the Minister for Health in October 2005 the commencement of risk equalisation payments. In December 2005, the Minister for Health and Children decided that risk equalisation payments would commence from 1 January 2006. A stay on payments was imposed by the Courts until it ruled on a constitutional challenge to the Risk Equalisation Scheme. On the 16th of July 2008, the Supreme Court ruled that the Risk Equalisation Scheme was unconstitutional.</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b/>
          <w:bCs/>
          <w:sz w:val="24"/>
          <w:szCs w:val="24"/>
          <w:lang w:eastAsia="en-IE"/>
        </w:rPr>
        <w:t>2009-2012</w:t>
      </w:r>
      <w:r w:rsidRPr="00732196">
        <w:rPr>
          <w:rFonts w:ascii="Times New Roman" w:eastAsia="Times New Roman" w:hAnsi="Times New Roman" w:cs="Times New Roman"/>
          <w:sz w:val="24"/>
          <w:szCs w:val="24"/>
          <w:lang w:eastAsia="en-IE"/>
        </w:rPr>
        <w:t xml:space="preserve"> </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Government announced, in November 2008, an initiative of an interim age related tax credits and community rating health insurance levy to support the cost of health insurance for older people. This interim system commenced in 2009 and was designed to be exchequer neutral.</w:t>
      </w:r>
    </w:p>
    <w:p w:rsidR="00732196" w:rsidRPr="00732196" w:rsidRDefault="00607FC3" w:rsidP="00732196">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2013-2015</w:t>
      </w:r>
      <w:r w:rsidR="00732196" w:rsidRPr="00732196">
        <w:rPr>
          <w:rFonts w:ascii="Times New Roman" w:eastAsia="Times New Roman" w:hAnsi="Times New Roman" w:cs="Times New Roman"/>
          <w:sz w:val="24"/>
          <w:szCs w:val="24"/>
          <w:lang w:eastAsia="en-IE"/>
        </w:rPr>
        <w:t xml:space="preserve"> </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Government, on 27th May 2010, announced a comprehensive strategy and set of actions for the health insurance market. These actions included the development of a full, robust, new risk equalisation scheme to start in 2013. The Health Insurance Authority published a consultation paper on risk equalisation on 21 June 2010 and submitted a report to the Minister for Health in December 2010.The Government announced details of the scheme in January 2012. Legislation was published in October 2012 and enacted in December 2012 to apply from January 2013.</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 xml:space="preserve">The legislation creates a Risk Equalisation Fund administered by the Health Insurance Authority. The Risk Equalisation Fund supports the community rated market by providing </w:t>
      </w:r>
      <w:r w:rsidRPr="00732196">
        <w:rPr>
          <w:rFonts w:ascii="Times New Roman" w:eastAsia="Times New Roman" w:hAnsi="Times New Roman" w:cs="Times New Roman"/>
          <w:sz w:val="24"/>
          <w:szCs w:val="24"/>
          <w:lang w:eastAsia="en-IE"/>
        </w:rPr>
        <w:lastRenderedPageBreak/>
        <w:t>age related health credits in respect of those over the age of 60 that help to meet their higher claims costs. The health credits vary by age, gender and by Level of Cover. Credits are also provided in respect of each overnight stay in a hospital bed in private or semi-private accommodation. These credits are funded by a community rating health insurance levy paid by health insurers which vary by Level of Cover.</w:t>
      </w:r>
    </w:p>
    <w:p w:rsid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health credits and the community rating health insurance levy are administered by the health insurance companies and the Risk Equalisation Fund. Community rating health insurance levy payments for renewals from 1 January 2013 are paid by insurers to the Revenue Commissioners who in turn pass the money to the Risk Equalisation Fund. Health credits are paid out of the Fund to the insurers. Any surpluses or deficits in the Fund are carried forward and allowed for in setting future levy amounts.</w:t>
      </w:r>
    </w:p>
    <w:p w:rsidR="00607FC3" w:rsidRDefault="00607FC3" w:rsidP="00732196">
      <w:pPr>
        <w:spacing w:before="100" w:beforeAutospacing="1" w:after="100" w:afterAutospacing="1"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2016-2020</w:t>
      </w:r>
    </w:p>
    <w:p w:rsidR="00607FC3" w:rsidRPr="00607FC3" w:rsidRDefault="00607FC3" w:rsidP="00607FC3">
      <w:pPr>
        <w:shd w:val="clear" w:color="auto" w:fill="FFFFFF"/>
        <w:spacing w:before="100" w:beforeAutospacing="1" w:line="285" w:lineRule="atLeast"/>
        <w:rPr>
          <w:rFonts w:ascii="Times New Roman" w:eastAsia="Times New Roman" w:hAnsi="Times New Roman" w:cs="Times New Roman"/>
          <w:sz w:val="24"/>
          <w:szCs w:val="24"/>
          <w:lang w:val="en" w:eastAsia="en-IE"/>
        </w:rPr>
      </w:pPr>
      <w:r w:rsidRPr="00607FC3">
        <w:rPr>
          <w:rFonts w:ascii="Times New Roman" w:eastAsia="Times New Roman" w:hAnsi="Times New Roman" w:cs="Times New Roman"/>
          <w:sz w:val="24"/>
          <w:szCs w:val="24"/>
          <w:lang w:val="en" w:eastAsia="en-IE"/>
        </w:rPr>
        <w:t xml:space="preserve">The 2016 Risk </w:t>
      </w:r>
      <w:proofErr w:type="spellStart"/>
      <w:r w:rsidRPr="00607FC3">
        <w:rPr>
          <w:rFonts w:ascii="Times New Roman" w:eastAsia="Times New Roman" w:hAnsi="Times New Roman" w:cs="Times New Roman"/>
          <w:sz w:val="24"/>
          <w:szCs w:val="24"/>
          <w:lang w:val="en" w:eastAsia="en-IE"/>
        </w:rPr>
        <w:t>Equalisation</w:t>
      </w:r>
      <w:proofErr w:type="spellEnd"/>
      <w:r w:rsidRPr="00607FC3">
        <w:rPr>
          <w:rFonts w:ascii="Times New Roman" w:eastAsia="Times New Roman" w:hAnsi="Times New Roman" w:cs="Times New Roman"/>
          <w:sz w:val="24"/>
          <w:szCs w:val="24"/>
          <w:lang w:val="en" w:eastAsia="en-IE"/>
        </w:rPr>
        <w:t xml:space="preserve"> Scheme is similar to the 2013 Scheme except that risk </w:t>
      </w:r>
      <w:proofErr w:type="spellStart"/>
      <w:r w:rsidRPr="00607FC3">
        <w:rPr>
          <w:rFonts w:ascii="Times New Roman" w:eastAsia="Times New Roman" w:hAnsi="Times New Roman" w:cs="Times New Roman"/>
          <w:sz w:val="24"/>
          <w:szCs w:val="24"/>
          <w:lang w:val="en" w:eastAsia="en-IE"/>
        </w:rPr>
        <w:t>equalisation</w:t>
      </w:r>
      <w:proofErr w:type="spellEnd"/>
      <w:r w:rsidRPr="00607FC3">
        <w:rPr>
          <w:rFonts w:ascii="Times New Roman" w:eastAsia="Times New Roman" w:hAnsi="Times New Roman" w:cs="Times New Roman"/>
          <w:sz w:val="24"/>
          <w:szCs w:val="24"/>
          <w:lang w:val="en" w:eastAsia="en-IE"/>
        </w:rPr>
        <w:t xml:space="preserve"> payments would also be payable in respect of admissions to hospitals that did not involve an overnight stay in the hospital.</w:t>
      </w:r>
    </w:p>
    <w:p w:rsidR="00607FC3" w:rsidRPr="00607FC3" w:rsidRDefault="00607FC3" w:rsidP="00732196">
      <w:pPr>
        <w:spacing w:before="100" w:beforeAutospacing="1" w:after="100" w:afterAutospacing="1" w:line="240" w:lineRule="auto"/>
        <w:rPr>
          <w:rFonts w:ascii="Times New Roman" w:eastAsia="Times New Roman" w:hAnsi="Times New Roman" w:cs="Times New Roman"/>
          <w:b/>
          <w:sz w:val="24"/>
          <w:szCs w:val="24"/>
          <w:lang w:eastAsia="en-IE"/>
        </w:rPr>
      </w:pPr>
    </w:p>
    <w:p w:rsidR="009B193D" w:rsidRDefault="009B193D" w:rsidP="00732196">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health credits and community rating health insurance levy for renewals f</w:t>
      </w:r>
      <w:r w:rsidR="001F7326">
        <w:rPr>
          <w:rFonts w:ascii="Times New Roman" w:eastAsia="Times New Roman" w:hAnsi="Times New Roman" w:cs="Times New Roman"/>
          <w:sz w:val="24"/>
          <w:szCs w:val="24"/>
          <w:lang w:eastAsia="en-IE"/>
        </w:rPr>
        <w:t>rom 2009 to 2012/Q1 2013</w:t>
      </w:r>
      <w:r>
        <w:rPr>
          <w:rFonts w:ascii="Times New Roman" w:eastAsia="Times New Roman" w:hAnsi="Times New Roman" w:cs="Times New Roman"/>
          <w:sz w:val="24"/>
          <w:szCs w:val="24"/>
          <w:lang w:eastAsia="en-IE"/>
        </w:rPr>
        <w:t xml:space="preserve"> are as follows:</w:t>
      </w:r>
    </w:p>
    <w:p w:rsidR="00246800" w:rsidRPr="00732196" w:rsidRDefault="00246800" w:rsidP="00246800">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b/>
          <w:bCs/>
          <w:sz w:val="24"/>
          <w:szCs w:val="24"/>
          <w:lang w:eastAsia="en-IE"/>
        </w:rPr>
        <w:t>Interim System credits and community rating levy amounts for renewals in 2009-2012</w:t>
      </w:r>
      <w:r w:rsidR="005B6DD2">
        <w:rPr>
          <w:rFonts w:ascii="Times New Roman" w:eastAsia="Times New Roman" w:hAnsi="Times New Roman" w:cs="Times New Roman"/>
          <w:b/>
          <w:bCs/>
          <w:sz w:val="24"/>
          <w:szCs w:val="24"/>
          <w:lang w:eastAsia="en-IE"/>
        </w:rPr>
        <w:t>/Q1 2013</w:t>
      </w:r>
      <w:r w:rsidRPr="00732196">
        <w:rPr>
          <w:rFonts w:ascii="Times New Roman" w:eastAsia="Times New Roman" w:hAnsi="Times New Roman" w:cs="Times New Roman"/>
          <w:sz w:val="24"/>
          <w:szCs w:val="24"/>
          <w:lang w:eastAsia="en-IE"/>
        </w:rPr>
        <w:t xml:space="preserve"> </w:t>
      </w:r>
    </w:p>
    <w:tbl>
      <w:tblPr>
        <w:tblW w:w="8960" w:type="dxa"/>
        <w:tblInd w:w="-13" w:type="dxa"/>
        <w:tblLook w:val="04A0" w:firstRow="1" w:lastRow="0" w:firstColumn="1" w:lastColumn="0" w:noHBand="0" w:noVBand="1"/>
      </w:tblPr>
      <w:tblGrid>
        <w:gridCol w:w="1760"/>
        <w:gridCol w:w="1740"/>
        <w:gridCol w:w="1780"/>
        <w:gridCol w:w="1840"/>
        <w:gridCol w:w="1840"/>
      </w:tblGrid>
      <w:tr w:rsidR="001F7326" w:rsidRPr="001F7326" w:rsidTr="001F7326">
        <w:trPr>
          <w:trHeight w:val="255"/>
        </w:trPr>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c>
          <w:tcPr>
            <w:tcW w:w="1740" w:type="dxa"/>
            <w:tcBorders>
              <w:top w:val="single" w:sz="4" w:space="0" w:color="auto"/>
              <w:left w:val="nil"/>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780" w:type="dxa"/>
            <w:tcBorders>
              <w:top w:val="single" w:sz="4" w:space="0" w:color="auto"/>
              <w:left w:val="nil"/>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840" w:type="dxa"/>
            <w:tcBorders>
              <w:top w:val="single" w:sz="4" w:space="0" w:color="auto"/>
              <w:left w:val="nil"/>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840" w:type="dxa"/>
            <w:tcBorders>
              <w:top w:val="single" w:sz="4" w:space="0" w:color="auto"/>
              <w:left w:val="nil"/>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Age range</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2009</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2010</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2011</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center"/>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2012 / Q1 2013</w:t>
            </w:r>
          </w:p>
        </w:tc>
      </w:tr>
      <w:tr w:rsidR="001F7326" w:rsidRPr="001F7326" w:rsidTr="001F7326">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c>
          <w:tcPr>
            <w:tcW w:w="174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c>
          <w:tcPr>
            <w:tcW w:w="17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c>
          <w:tcPr>
            <w:tcW w:w="184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c>
          <w:tcPr>
            <w:tcW w:w="184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50-59</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€200</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€200</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Nil</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Nil</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60-64</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€500</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€525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€625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€600</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65-69</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€500</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€525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€625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€975</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70-74</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€950</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€975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€1,275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€1,400</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75-79</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€950</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€975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€1,275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€2,025</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80-84</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€1,175</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€1,250</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€1,725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€2,400</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85+</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€1,175</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€1,250</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€1,725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€2,700</w:t>
            </w:r>
          </w:p>
        </w:tc>
      </w:tr>
      <w:tr w:rsidR="001F7326" w:rsidRPr="001F7326" w:rsidTr="001F7326">
        <w:trPr>
          <w:trHeight w:val="255"/>
        </w:trPr>
        <w:tc>
          <w:tcPr>
            <w:tcW w:w="1760" w:type="dxa"/>
            <w:tcBorders>
              <w:top w:val="single" w:sz="4" w:space="0" w:color="auto"/>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740" w:type="dxa"/>
            <w:tcBorders>
              <w:top w:val="single" w:sz="4" w:space="0" w:color="auto"/>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780" w:type="dxa"/>
            <w:tcBorders>
              <w:top w:val="single" w:sz="4" w:space="0" w:color="auto"/>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840" w:type="dxa"/>
            <w:tcBorders>
              <w:top w:val="single" w:sz="4" w:space="0" w:color="auto"/>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840" w:type="dxa"/>
            <w:tcBorders>
              <w:top w:val="single" w:sz="4" w:space="0" w:color="auto"/>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r>
      <w:tr w:rsidR="001F7326" w:rsidRPr="001F7326" w:rsidTr="001F7326">
        <w:trPr>
          <w:trHeight w:val="255"/>
        </w:trPr>
        <w:tc>
          <w:tcPr>
            <w:tcW w:w="176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Stamp duty table</w:t>
            </w:r>
          </w:p>
        </w:tc>
        <w:tc>
          <w:tcPr>
            <w:tcW w:w="174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7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84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84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r>
      <w:tr w:rsidR="001F7326" w:rsidRPr="001F7326" w:rsidTr="001F7326">
        <w:trPr>
          <w:trHeight w:val="255"/>
        </w:trPr>
        <w:tc>
          <w:tcPr>
            <w:tcW w:w="176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74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7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84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84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r>
      <w:tr w:rsidR="001F7326" w:rsidRPr="001F7326" w:rsidTr="001F7326">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2009</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2010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2011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center"/>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2012 / Q1 2013</w:t>
            </w:r>
          </w:p>
        </w:tc>
      </w:tr>
      <w:tr w:rsidR="001F7326" w:rsidRPr="001F7326" w:rsidTr="001F7326">
        <w:trPr>
          <w:trHeight w:val="255"/>
        </w:trPr>
        <w:tc>
          <w:tcPr>
            <w:tcW w:w="1760" w:type="dxa"/>
            <w:tcBorders>
              <w:top w:val="nil"/>
              <w:left w:val="single" w:sz="4" w:space="0" w:color="auto"/>
              <w:bottom w:val="nil"/>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xml:space="preserve">Adult </w:t>
            </w:r>
          </w:p>
        </w:tc>
        <w:tc>
          <w:tcPr>
            <w:tcW w:w="17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€160</w:t>
            </w:r>
          </w:p>
        </w:tc>
        <w:tc>
          <w:tcPr>
            <w:tcW w:w="178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€185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€205</w:t>
            </w:r>
          </w:p>
        </w:tc>
        <w:tc>
          <w:tcPr>
            <w:tcW w:w="1840" w:type="dxa"/>
            <w:tcBorders>
              <w:top w:val="nil"/>
              <w:left w:val="nil"/>
              <w:bottom w:val="nil"/>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€285</w:t>
            </w:r>
          </w:p>
        </w:tc>
      </w:tr>
      <w:tr w:rsidR="001F7326" w:rsidRPr="001F7326" w:rsidTr="001F7326">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Child</w:t>
            </w:r>
          </w:p>
        </w:tc>
        <w:tc>
          <w:tcPr>
            <w:tcW w:w="174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€53</w:t>
            </w:r>
          </w:p>
        </w:tc>
        <w:tc>
          <w:tcPr>
            <w:tcW w:w="17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€55</w:t>
            </w:r>
          </w:p>
        </w:tc>
        <w:tc>
          <w:tcPr>
            <w:tcW w:w="184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€66</w:t>
            </w:r>
          </w:p>
        </w:tc>
        <w:tc>
          <w:tcPr>
            <w:tcW w:w="184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€95</w:t>
            </w:r>
          </w:p>
        </w:tc>
      </w:tr>
    </w:tbl>
    <w:p w:rsidR="00246800" w:rsidRDefault="001F732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health credits and the community rating health insuranc</w:t>
      </w:r>
      <w:r>
        <w:rPr>
          <w:rFonts w:ascii="Times New Roman" w:eastAsia="Times New Roman" w:hAnsi="Times New Roman" w:cs="Times New Roman"/>
          <w:sz w:val="24"/>
          <w:szCs w:val="24"/>
          <w:lang w:eastAsia="en-IE"/>
        </w:rPr>
        <w:t>e levy for renewals occurring from 1</w:t>
      </w:r>
      <w:r w:rsidR="005B6DD2">
        <w:rPr>
          <w:rFonts w:ascii="Times New Roman" w:eastAsia="Times New Roman" w:hAnsi="Times New Roman" w:cs="Times New Roman"/>
          <w:sz w:val="24"/>
          <w:szCs w:val="24"/>
          <w:lang w:eastAsia="en-IE"/>
        </w:rPr>
        <w:t xml:space="preserve"> January 2013</w:t>
      </w:r>
      <w:r w:rsidRPr="00732196">
        <w:rPr>
          <w:rFonts w:ascii="Times New Roman" w:eastAsia="Times New Roman" w:hAnsi="Times New Roman" w:cs="Times New Roman"/>
          <w:sz w:val="24"/>
          <w:szCs w:val="24"/>
          <w:lang w:eastAsia="en-IE"/>
        </w:rPr>
        <w:t xml:space="preserve"> to 31 March 2013 are the same as applied for renewals under the interim system in 2012.</w:t>
      </w:r>
    </w:p>
    <w:p w:rsidR="005F4C4F" w:rsidRDefault="005F4C4F" w:rsidP="00732196">
      <w:pPr>
        <w:spacing w:before="100" w:beforeAutospacing="1" w:after="100" w:afterAutospacing="1" w:line="240" w:lineRule="auto"/>
        <w:rPr>
          <w:rFonts w:ascii="Times New Roman" w:eastAsia="Times New Roman" w:hAnsi="Times New Roman" w:cs="Times New Roman"/>
          <w:b/>
          <w:bCs/>
          <w:sz w:val="24"/>
          <w:szCs w:val="24"/>
          <w:lang w:eastAsia="en-IE"/>
        </w:rPr>
      </w:pPr>
    </w:p>
    <w:p w:rsidR="009B193D" w:rsidRDefault="002938E7"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b/>
          <w:bCs/>
          <w:sz w:val="24"/>
          <w:szCs w:val="24"/>
          <w:lang w:eastAsia="en-IE"/>
        </w:rPr>
        <w:lastRenderedPageBreak/>
        <w:t>Health Credits and community rating stamp duty for</w:t>
      </w:r>
      <w:r w:rsidR="001F7326">
        <w:rPr>
          <w:rFonts w:ascii="Times New Roman" w:eastAsia="Times New Roman" w:hAnsi="Times New Roman" w:cs="Times New Roman"/>
          <w:b/>
          <w:bCs/>
          <w:sz w:val="24"/>
          <w:szCs w:val="24"/>
          <w:lang w:eastAsia="en-IE"/>
        </w:rPr>
        <w:t xml:space="preserve"> policies renewing from 31 March</w:t>
      </w:r>
      <w:r>
        <w:rPr>
          <w:rFonts w:ascii="Times New Roman" w:eastAsia="Times New Roman" w:hAnsi="Times New Roman" w:cs="Times New Roman"/>
          <w:b/>
          <w:bCs/>
          <w:sz w:val="24"/>
          <w:szCs w:val="24"/>
          <w:lang w:eastAsia="en-IE"/>
        </w:rPr>
        <w:t xml:space="preserve"> 2013 to 28 February 2014</w:t>
      </w:r>
      <w:r w:rsidRPr="00732196">
        <w:rPr>
          <w:rFonts w:ascii="Times New Roman" w:eastAsia="Times New Roman" w:hAnsi="Times New Roman" w:cs="Times New Roman"/>
          <w:b/>
          <w:bCs/>
          <w:sz w:val="24"/>
          <w:szCs w:val="24"/>
          <w:lang w:eastAsia="en-IE"/>
        </w:rPr>
        <w:t>.</w:t>
      </w:r>
    </w:p>
    <w:p w:rsidR="00732196" w:rsidRPr="00732196" w:rsidRDefault="00732196" w:rsidP="00732196">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amounts of the health credits and community rating health insurance levy for policies renewing from 31 March 2013</w:t>
      </w:r>
      <w:r w:rsidR="00C07AF7">
        <w:rPr>
          <w:rFonts w:ascii="Times New Roman" w:eastAsia="Times New Roman" w:hAnsi="Times New Roman" w:cs="Times New Roman"/>
          <w:sz w:val="24"/>
          <w:szCs w:val="24"/>
          <w:lang w:eastAsia="en-IE"/>
        </w:rPr>
        <w:t xml:space="preserve"> </w:t>
      </w:r>
      <w:r w:rsidR="002938E7">
        <w:rPr>
          <w:rFonts w:ascii="Times New Roman" w:eastAsia="Times New Roman" w:hAnsi="Times New Roman" w:cs="Times New Roman"/>
          <w:sz w:val="24"/>
          <w:szCs w:val="24"/>
          <w:lang w:eastAsia="en-IE"/>
        </w:rPr>
        <w:t>to 28 February 2014</w:t>
      </w:r>
      <w:r w:rsidRPr="00732196">
        <w:rPr>
          <w:rFonts w:ascii="Times New Roman" w:eastAsia="Times New Roman" w:hAnsi="Times New Roman" w:cs="Times New Roman"/>
          <w:sz w:val="24"/>
          <w:szCs w:val="24"/>
          <w:lang w:eastAsia="en-IE"/>
        </w:rPr>
        <w:t xml:space="preserve"> are as follows:</w:t>
      </w:r>
    </w:p>
    <w:tbl>
      <w:tblPr>
        <w:tblW w:w="9370" w:type="dxa"/>
        <w:tblInd w:w="-13" w:type="dxa"/>
        <w:tblLook w:val="04A0" w:firstRow="1" w:lastRow="0" w:firstColumn="1" w:lastColumn="0" w:noHBand="0" w:noVBand="1"/>
      </w:tblPr>
      <w:tblGrid>
        <w:gridCol w:w="3106"/>
        <w:gridCol w:w="1537"/>
        <w:gridCol w:w="1667"/>
        <w:gridCol w:w="1480"/>
        <w:gridCol w:w="1580"/>
      </w:tblGrid>
      <w:tr w:rsidR="001F7326" w:rsidRPr="001F7326" w:rsidTr="00931E3C">
        <w:trPr>
          <w:trHeight w:val="300"/>
        </w:trPr>
        <w:tc>
          <w:tcPr>
            <w:tcW w:w="93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F7326" w:rsidRPr="001F7326" w:rsidRDefault="001F7326" w:rsidP="001F7326">
            <w:pPr>
              <w:spacing w:line="240" w:lineRule="auto"/>
              <w:jc w:val="center"/>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31/03/13 - 28/02/14</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Age range</w:t>
            </w:r>
          </w:p>
        </w:tc>
        <w:tc>
          <w:tcPr>
            <w:tcW w:w="3204" w:type="dxa"/>
            <w:gridSpan w:val="2"/>
            <w:tcBorders>
              <w:top w:val="single" w:sz="4" w:space="0" w:color="auto"/>
              <w:left w:val="nil"/>
              <w:bottom w:val="single" w:sz="4" w:space="0" w:color="auto"/>
              <w:right w:val="single" w:sz="4" w:space="0" w:color="auto"/>
            </w:tcBorders>
            <w:shd w:val="clear" w:color="auto" w:fill="auto"/>
            <w:vAlign w:val="bottom"/>
            <w:hideMark/>
          </w:tcPr>
          <w:p w:rsidR="001F7326" w:rsidRPr="001F7326" w:rsidRDefault="001F7326" w:rsidP="001F7326">
            <w:pPr>
              <w:spacing w:line="240" w:lineRule="auto"/>
              <w:jc w:val="center"/>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Non-advanced cover</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center"/>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Advanced cover</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 </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Male</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Female</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Male</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Female</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60-64</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€375</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€250</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€425</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€275</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65-69</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€900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€650</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€1,050</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€775</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70-74</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€1,450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€975</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€1,700</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€1,150</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75-79</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€2,050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€1,550</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€2,425</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€1,800</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80-84</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€2,850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€1,925</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€3,375</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€2,275</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85+</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€2,850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€1,925</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€3,375</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€2,275</w:t>
            </w:r>
          </w:p>
        </w:tc>
      </w:tr>
      <w:tr w:rsidR="001F7326" w:rsidRPr="001F7326" w:rsidTr="00931E3C">
        <w:trPr>
          <w:trHeight w:val="255"/>
        </w:trPr>
        <w:tc>
          <w:tcPr>
            <w:tcW w:w="3106"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3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66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4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r>
      <w:tr w:rsidR="001F7326" w:rsidRPr="001F7326" w:rsidTr="00931E3C">
        <w:trPr>
          <w:trHeight w:val="255"/>
        </w:trPr>
        <w:tc>
          <w:tcPr>
            <w:tcW w:w="3106"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b/>
                <w:bCs/>
                <w:sz w:val="20"/>
                <w:szCs w:val="20"/>
                <w:lang w:eastAsia="en-IE"/>
              </w:rPr>
            </w:pPr>
            <w:r w:rsidRPr="001F7326">
              <w:rPr>
                <w:rFonts w:ascii="Arial" w:eastAsia="Times New Roman" w:hAnsi="Arial" w:cs="Arial"/>
                <w:b/>
                <w:bCs/>
                <w:sz w:val="20"/>
                <w:szCs w:val="20"/>
                <w:lang w:eastAsia="en-IE"/>
              </w:rPr>
              <w:t>Stamp duty table</w:t>
            </w:r>
          </w:p>
        </w:tc>
        <w:tc>
          <w:tcPr>
            <w:tcW w:w="153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66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4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r>
      <w:tr w:rsidR="001F7326" w:rsidRPr="001F7326" w:rsidTr="00931E3C">
        <w:trPr>
          <w:trHeight w:val="255"/>
        </w:trPr>
        <w:tc>
          <w:tcPr>
            <w:tcW w:w="3106"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3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66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4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r>
      <w:tr w:rsidR="001F7326" w:rsidRPr="001F7326" w:rsidTr="00931E3C">
        <w:trPr>
          <w:trHeight w:val="300"/>
        </w:trPr>
        <w:tc>
          <w:tcPr>
            <w:tcW w:w="3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 </w:t>
            </w:r>
          </w:p>
        </w:tc>
        <w:tc>
          <w:tcPr>
            <w:tcW w:w="6264" w:type="dxa"/>
            <w:gridSpan w:val="4"/>
            <w:tcBorders>
              <w:top w:val="single" w:sz="4" w:space="0" w:color="auto"/>
              <w:left w:val="nil"/>
              <w:bottom w:val="single" w:sz="4" w:space="0" w:color="auto"/>
              <w:right w:val="single" w:sz="4" w:space="0" w:color="auto"/>
            </w:tcBorders>
            <w:shd w:val="clear" w:color="auto" w:fill="auto"/>
            <w:vAlign w:val="bottom"/>
            <w:hideMark/>
          </w:tcPr>
          <w:p w:rsidR="001F7326" w:rsidRPr="001F7326" w:rsidRDefault="001F7326" w:rsidP="001F7326">
            <w:pPr>
              <w:spacing w:line="240" w:lineRule="auto"/>
              <w:jc w:val="center"/>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31/03/13 - 28/02/14</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3204" w:type="dxa"/>
            <w:gridSpan w:val="2"/>
            <w:tcBorders>
              <w:top w:val="single" w:sz="4" w:space="0" w:color="auto"/>
              <w:left w:val="nil"/>
              <w:bottom w:val="single" w:sz="4" w:space="0" w:color="auto"/>
              <w:right w:val="single" w:sz="4" w:space="0" w:color="auto"/>
            </w:tcBorders>
            <w:shd w:val="clear" w:color="auto" w:fill="auto"/>
            <w:vAlign w:val="bottom"/>
            <w:hideMark/>
          </w:tcPr>
          <w:p w:rsidR="001F7326" w:rsidRPr="001F7326" w:rsidRDefault="001F7326" w:rsidP="001F7326">
            <w:pPr>
              <w:spacing w:line="240" w:lineRule="auto"/>
              <w:jc w:val="center"/>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Non-advanced cover</w:t>
            </w:r>
          </w:p>
        </w:tc>
        <w:tc>
          <w:tcPr>
            <w:tcW w:w="3060" w:type="dxa"/>
            <w:gridSpan w:val="2"/>
            <w:tcBorders>
              <w:top w:val="single" w:sz="4" w:space="0" w:color="auto"/>
              <w:left w:val="nil"/>
              <w:bottom w:val="single" w:sz="4" w:space="0" w:color="auto"/>
              <w:right w:val="single" w:sz="4" w:space="0" w:color="auto"/>
            </w:tcBorders>
            <w:shd w:val="clear" w:color="auto" w:fill="auto"/>
            <w:vAlign w:val="bottom"/>
            <w:hideMark/>
          </w:tcPr>
          <w:p w:rsidR="001F7326" w:rsidRPr="001F7326" w:rsidRDefault="001F7326" w:rsidP="001F7326">
            <w:pPr>
              <w:spacing w:line="240" w:lineRule="auto"/>
              <w:jc w:val="center"/>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Advanced cover</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Under 18</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€100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€120</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r>
      <w:tr w:rsidR="001F7326" w:rsidRPr="001F7326" w:rsidTr="00931E3C">
        <w:trPr>
          <w:trHeight w:val="30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Calibri" w:eastAsia="Times New Roman" w:hAnsi="Calibri" w:cs="Arial"/>
                <w:b/>
                <w:bCs/>
                <w:color w:val="000000"/>
                <w:lang w:eastAsia="en-IE"/>
              </w:rPr>
            </w:pPr>
            <w:r w:rsidRPr="001F7326">
              <w:rPr>
                <w:rFonts w:ascii="Calibri" w:eastAsia="Times New Roman" w:hAnsi="Calibri" w:cs="Arial"/>
                <w:b/>
                <w:bCs/>
                <w:color w:val="000000"/>
                <w:lang w:eastAsia="en-IE"/>
              </w:rPr>
              <w:t>Over 18</w:t>
            </w:r>
          </w:p>
        </w:tc>
        <w:tc>
          <w:tcPr>
            <w:tcW w:w="153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€290</w:t>
            </w:r>
          </w:p>
        </w:tc>
        <w:tc>
          <w:tcPr>
            <w:tcW w:w="1667"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jc w:val="right"/>
              <w:rPr>
                <w:rFonts w:ascii="Arial" w:eastAsia="Times New Roman" w:hAnsi="Arial" w:cs="Arial"/>
                <w:sz w:val="20"/>
                <w:szCs w:val="20"/>
                <w:lang w:eastAsia="en-IE"/>
              </w:rPr>
            </w:pPr>
            <w:r w:rsidRPr="001F7326">
              <w:rPr>
                <w:rFonts w:ascii="Arial" w:eastAsia="Times New Roman" w:hAnsi="Arial" w:cs="Arial"/>
                <w:sz w:val="20"/>
                <w:szCs w:val="20"/>
                <w:lang w:eastAsia="en-IE"/>
              </w:rPr>
              <w:t>€350</w:t>
            </w:r>
          </w:p>
        </w:tc>
        <w:tc>
          <w:tcPr>
            <w:tcW w:w="1580" w:type="dxa"/>
            <w:tcBorders>
              <w:top w:val="nil"/>
              <w:left w:val="nil"/>
              <w:bottom w:val="single" w:sz="4" w:space="0" w:color="auto"/>
              <w:right w:val="single" w:sz="4" w:space="0" w:color="auto"/>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 </w:t>
            </w:r>
          </w:p>
        </w:tc>
      </w:tr>
      <w:tr w:rsidR="001F7326" w:rsidRPr="001F7326" w:rsidTr="00931E3C">
        <w:trPr>
          <w:trHeight w:val="255"/>
        </w:trPr>
        <w:tc>
          <w:tcPr>
            <w:tcW w:w="3106"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3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667"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4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c>
          <w:tcPr>
            <w:tcW w:w="1580" w:type="dxa"/>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p>
        </w:tc>
      </w:tr>
      <w:tr w:rsidR="001F7326" w:rsidRPr="001F7326" w:rsidTr="00931E3C">
        <w:trPr>
          <w:trHeight w:val="255"/>
        </w:trPr>
        <w:tc>
          <w:tcPr>
            <w:tcW w:w="9370" w:type="dxa"/>
            <w:gridSpan w:val="5"/>
            <w:tcBorders>
              <w:top w:val="nil"/>
              <w:left w:val="nil"/>
              <w:bottom w:val="nil"/>
              <w:right w:val="nil"/>
            </w:tcBorders>
            <w:shd w:val="clear" w:color="auto" w:fill="auto"/>
            <w:noWrap/>
            <w:vAlign w:val="bottom"/>
            <w:hideMark/>
          </w:tcPr>
          <w:p w:rsidR="001F7326" w:rsidRPr="001F7326" w:rsidRDefault="001F7326" w:rsidP="001F7326">
            <w:pPr>
              <w:spacing w:line="240" w:lineRule="auto"/>
              <w:rPr>
                <w:rFonts w:ascii="Arial" w:eastAsia="Times New Roman" w:hAnsi="Arial" w:cs="Arial"/>
                <w:sz w:val="20"/>
                <w:szCs w:val="20"/>
                <w:lang w:eastAsia="en-IE"/>
              </w:rPr>
            </w:pPr>
            <w:r w:rsidRPr="001F7326">
              <w:rPr>
                <w:rFonts w:ascii="Arial" w:eastAsia="Times New Roman" w:hAnsi="Arial" w:cs="Arial"/>
                <w:sz w:val="20"/>
                <w:szCs w:val="20"/>
                <w:lang w:eastAsia="en-IE"/>
              </w:rPr>
              <w:t>For policies commencing between 31/03/2013 to 28/02/2014, a hospital bed utilisation payment of €75 is paid in respect of each night spent in private or semi-private accommodation by an insured person.</w:t>
            </w:r>
          </w:p>
        </w:tc>
      </w:tr>
    </w:tbl>
    <w:p w:rsidR="00931E3C" w:rsidRDefault="00931E3C" w:rsidP="00931E3C">
      <w:pPr>
        <w:spacing w:before="100" w:beforeAutospacing="1" w:after="100" w:afterAutospacing="1" w:line="240" w:lineRule="auto"/>
        <w:rPr>
          <w:rFonts w:ascii="Times New Roman" w:eastAsia="Times New Roman" w:hAnsi="Times New Roman" w:cs="Times New Roman"/>
          <w:b/>
          <w:bCs/>
          <w:sz w:val="24"/>
          <w:szCs w:val="24"/>
          <w:lang w:eastAsia="en-IE"/>
        </w:rPr>
      </w:pPr>
      <w:r w:rsidRPr="00732196">
        <w:rPr>
          <w:rFonts w:ascii="Times New Roman" w:eastAsia="Times New Roman" w:hAnsi="Times New Roman" w:cs="Times New Roman"/>
          <w:b/>
          <w:bCs/>
          <w:sz w:val="24"/>
          <w:szCs w:val="24"/>
          <w:lang w:eastAsia="en-IE"/>
        </w:rPr>
        <w:t>Health Credits and community rating stamp duty for</w:t>
      </w:r>
      <w:r>
        <w:rPr>
          <w:rFonts w:ascii="Times New Roman" w:eastAsia="Times New Roman" w:hAnsi="Times New Roman" w:cs="Times New Roman"/>
          <w:b/>
          <w:bCs/>
          <w:sz w:val="24"/>
          <w:szCs w:val="24"/>
          <w:lang w:eastAsia="en-IE"/>
        </w:rPr>
        <w:t xml:space="preserve"> policies renewing from 1 March 2014 to 28 February 2015</w:t>
      </w:r>
      <w:r w:rsidRPr="00732196">
        <w:rPr>
          <w:rFonts w:ascii="Times New Roman" w:eastAsia="Times New Roman" w:hAnsi="Times New Roman" w:cs="Times New Roman"/>
          <w:b/>
          <w:bCs/>
          <w:sz w:val="24"/>
          <w:szCs w:val="24"/>
          <w:lang w:eastAsia="en-IE"/>
        </w:rPr>
        <w:t>.</w:t>
      </w:r>
    </w:p>
    <w:p w:rsidR="00931E3C" w:rsidRDefault="00931E3C" w:rsidP="00931E3C">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amounts of the health credits and community rating health insurance l</w:t>
      </w:r>
      <w:r>
        <w:rPr>
          <w:rFonts w:ascii="Times New Roman" w:eastAsia="Times New Roman" w:hAnsi="Times New Roman" w:cs="Times New Roman"/>
          <w:sz w:val="24"/>
          <w:szCs w:val="24"/>
          <w:lang w:eastAsia="en-IE"/>
        </w:rPr>
        <w:t>evy for policies renewing from 1 March 2014 to 28 February 2015</w:t>
      </w:r>
      <w:r w:rsidRPr="00732196">
        <w:rPr>
          <w:rFonts w:ascii="Times New Roman" w:eastAsia="Times New Roman" w:hAnsi="Times New Roman" w:cs="Times New Roman"/>
          <w:sz w:val="24"/>
          <w:szCs w:val="24"/>
          <w:lang w:eastAsia="en-IE"/>
        </w:rPr>
        <w:t xml:space="preserve"> are as follows:</w:t>
      </w:r>
    </w:p>
    <w:tbl>
      <w:tblPr>
        <w:tblW w:w="9360" w:type="dxa"/>
        <w:tblLook w:val="04A0" w:firstRow="1" w:lastRow="0" w:firstColumn="1" w:lastColumn="0" w:noHBand="0" w:noVBand="1"/>
      </w:tblPr>
      <w:tblGrid>
        <w:gridCol w:w="1838"/>
        <w:gridCol w:w="1818"/>
        <w:gridCol w:w="1860"/>
        <w:gridCol w:w="1922"/>
        <w:gridCol w:w="1922"/>
      </w:tblGrid>
      <w:tr w:rsidR="00931E3C" w:rsidRPr="00931E3C" w:rsidTr="00931E3C">
        <w:trPr>
          <w:trHeight w:val="255"/>
        </w:trPr>
        <w:tc>
          <w:tcPr>
            <w:tcW w:w="183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1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60"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931E3C">
        <w:trPr>
          <w:trHeight w:val="30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 xml:space="preserve"> 01/03/14 - 28/02/2015</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Age range</w:t>
            </w:r>
          </w:p>
        </w:tc>
        <w:tc>
          <w:tcPr>
            <w:tcW w:w="3678" w:type="dxa"/>
            <w:gridSpan w:val="2"/>
            <w:tcBorders>
              <w:top w:val="single" w:sz="4" w:space="0" w:color="auto"/>
              <w:left w:val="nil"/>
              <w:bottom w:val="single" w:sz="4" w:space="0" w:color="auto"/>
              <w:right w:val="single" w:sz="4" w:space="0" w:color="000000"/>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Non-advanced cover</w:t>
            </w:r>
          </w:p>
        </w:tc>
        <w:tc>
          <w:tcPr>
            <w:tcW w:w="38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Advanced cover</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 </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Male</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Female</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Male</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Female</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60-64</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€250</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€200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€450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€325</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65-69</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€575</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€400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€1,150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€775</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70-74</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€925</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€625</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€1,850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€1,200</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75-79</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€1,200</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€950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€2,500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€1,925</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80-84</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€1,575</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€1,150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€3,200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€2,250</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85+</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€1,975</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€1,325</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€4,000</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€2,725</w:t>
            </w:r>
          </w:p>
        </w:tc>
      </w:tr>
      <w:tr w:rsidR="00931E3C" w:rsidRPr="00931E3C" w:rsidTr="00931E3C">
        <w:trPr>
          <w:trHeight w:val="255"/>
        </w:trPr>
        <w:tc>
          <w:tcPr>
            <w:tcW w:w="183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1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60"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931E3C">
        <w:trPr>
          <w:trHeight w:val="300"/>
        </w:trPr>
        <w:tc>
          <w:tcPr>
            <w:tcW w:w="1838" w:type="dxa"/>
            <w:tcBorders>
              <w:top w:val="nil"/>
              <w:left w:val="nil"/>
              <w:bottom w:val="nil"/>
              <w:right w:val="nil"/>
            </w:tcBorders>
            <w:shd w:val="clear" w:color="auto" w:fill="auto"/>
            <w:noWrap/>
            <w:vAlign w:val="bottom"/>
            <w:hideMark/>
          </w:tcPr>
          <w:p w:rsidR="005F4C4F" w:rsidRDefault="005F4C4F" w:rsidP="00931E3C">
            <w:pPr>
              <w:spacing w:line="240" w:lineRule="auto"/>
              <w:rPr>
                <w:rFonts w:ascii="Calibri" w:eastAsia="Times New Roman" w:hAnsi="Calibri" w:cs="Arial"/>
                <w:b/>
                <w:bCs/>
                <w:color w:val="000000"/>
                <w:lang w:eastAsia="en-IE"/>
              </w:rPr>
            </w:pPr>
          </w:p>
          <w:p w:rsidR="005F4C4F" w:rsidRDefault="005F4C4F" w:rsidP="00931E3C">
            <w:pPr>
              <w:spacing w:line="240" w:lineRule="auto"/>
              <w:rPr>
                <w:rFonts w:ascii="Calibri" w:eastAsia="Times New Roman" w:hAnsi="Calibri" w:cs="Arial"/>
                <w:b/>
                <w:bCs/>
                <w:color w:val="000000"/>
                <w:lang w:eastAsia="en-IE"/>
              </w:rPr>
            </w:pPr>
          </w:p>
          <w:p w:rsidR="005F4C4F" w:rsidRDefault="005F4C4F" w:rsidP="00931E3C">
            <w:pPr>
              <w:spacing w:line="240" w:lineRule="auto"/>
              <w:rPr>
                <w:rFonts w:ascii="Calibri" w:eastAsia="Times New Roman" w:hAnsi="Calibri" w:cs="Arial"/>
                <w:b/>
                <w:bCs/>
                <w:color w:val="000000"/>
                <w:lang w:eastAsia="en-IE"/>
              </w:rPr>
            </w:pPr>
          </w:p>
          <w:p w:rsidR="005F4C4F" w:rsidRDefault="005F4C4F" w:rsidP="00931E3C">
            <w:pPr>
              <w:spacing w:line="240" w:lineRule="auto"/>
              <w:rPr>
                <w:rFonts w:ascii="Calibri" w:eastAsia="Times New Roman" w:hAnsi="Calibri" w:cs="Arial"/>
                <w:b/>
                <w:bCs/>
                <w:color w:val="000000"/>
                <w:lang w:eastAsia="en-IE"/>
              </w:rPr>
            </w:pPr>
          </w:p>
          <w:p w:rsidR="005F4C4F" w:rsidRDefault="005F4C4F" w:rsidP="00931E3C">
            <w:pPr>
              <w:spacing w:line="240" w:lineRule="auto"/>
              <w:rPr>
                <w:rFonts w:ascii="Calibri" w:eastAsia="Times New Roman" w:hAnsi="Calibri" w:cs="Arial"/>
                <w:b/>
                <w:bCs/>
                <w:color w:val="000000"/>
                <w:lang w:eastAsia="en-IE"/>
              </w:rPr>
            </w:pPr>
          </w:p>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lastRenderedPageBreak/>
              <w:t>Stamp duty table</w:t>
            </w:r>
          </w:p>
        </w:tc>
        <w:tc>
          <w:tcPr>
            <w:tcW w:w="181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60"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931E3C">
        <w:trPr>
          <w:trHeight w:val="255"/>
        </w:trPr>
        <w:tc>
          <w:tcPr>
            <w:tcW w:w="183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1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60"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931E3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 </w:t>
            </w:r>
          </w:p>
        </w:tc>
        <w:tc>
          <w:tcPr>
            <w:tcW w:w="7522" w:type="dxa"/>
            <w:gridSpan w:val="4"/>
            <w:tcBorders>
              <w:top w:val="single" w:sz="4" w:space="0" w:color="auto"/>
              <w:left w:val="nil"/>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01/03/14 - 28/02/2015</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3678" w:type="dxa"/>
            <w:gridSpan w:val="2"/>
            <w:tcBorders>
              <w:top w:val="single" w:sz="4" w:space="0" w:color="auto"/>
              <w:left w:val="nil"/>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Non-advanced cover</w:t>
            </w:r>
          </w:p>
        </w:tc>
        <w:tc>
          <w:tcPr>
            <w:tcW w:w="3844" w:type="dxa"/>
            <w:gridSpan w:val="2"/>
            <w:tcBorders>
              <w:top w:val="single" w:sz="4" w:space="0" w:color="auto"/>
              <w:left w:val="nil"/>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Advanced cover</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Under 18</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€100</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€135</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r>
      <w:tr w:rsidR="00931E3C" w:rsidRPr="00931E3C" w:rsidTr="00931E3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Over 18</w:t>
            </w:r>
          </w:p>
        </w:tc>
        <w:tc>
          <w:tcPr>
            <w:tcW w:w="1818"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€290</w:t>
            </w:r>
          </w:p>
        </w:tc>
        <w:tc>
          <w:tcPr>
            <w:tcW w:w="1860"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€399</w:t>
            </w:r>
          </w:p>
        </w:tc>
        <w:tc>
          <w:tcPr>
            <w:tcW w:w="1922"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r>
      <w:tr w:rsidR="00931E3C" w:rsidRPr="00931E3C" w:rsidTr="00931E3C">
        <w:trPr>
          <w:trHeight w:val="255"/>
        </w:trPr>
        <w:tc>
          <w:tcPr>
            <w:tcW w:w="183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18"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860"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92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931E3C">
        <w:trPr>
          <w:trHeight w:val="255"/>
        </w:trPr>
        <w:tc>
          <w:tcPr>
            <w:tcW w:w="9360" w:type="dxa"/>
            <w:gridSpan w:val="5"/>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For policies commencing between 01/03/14 to 28/02/2015, a hospital bed utilisation payment of €60 is paid in respect of each night s</w:t>
            </w:r>
            <w:r w:rsidR="000C7A01">
              <w:rPr>
                <w:rFonts w:ascii="Arial" w:eastAsia="Times New Roman" w:hAnsi="Arial" w:cs="Arial"/>
                <w:sz w:val="20"/>
                <w:szCs w:val="20"/>
                <w:lang w:eastAsia="en-IE"/>
              </w:rPr>
              <w:t xml:space="preserve">pent in private hospital </w:t>
            </w:r>
            <w:r w:rsidRPr="00931E3C">
              <w:rPr>
                <w:rFonts w:ascii="Arial" w:eastAsia="Times New Roman" w:hAnsi="Arial" w:cs="Arial"/>
                <w:sz w:val="20"/>
                <w:szCs w:val="20"/>
                <w:lang w:eastAsia="en-IE"/>
              </w:rPr>
              <w:t>accommodation by an insured person.</w:t>
            </w:r>
          </w:p>
        </w:tc>
      </w:tr>
    </w:tbl>
    <w:p w:rsidR="00931E3C" w:rsidRDefault="00931E3C" w:rsidP="00931E3C">
      <w:pPr>
        <w:spacing w:before="100" w:beforeAutospacing="1" w:after="100" w:afterAutospacing="1" w:line="240" w:lineRule="auto"/>
        <w:rPr>
          <w:rFonts w:ascii="Times New Roman" w:eastAsia="Times New Roman" w:hAnsi="Times New Roman" w:cs="Times New Roman"/>
          <w:b/>
          <w:bCs/>
          <w:sz w:val="24"/>
          <w:szCs w:val="24"/>
          <w:lang w:eastAsia="en-IE"/>
        </w:rPr>
      </w:pPr>
      <w:r w:rsidRPr="00732196">
        <w:rPr>
          <w:rFonts w:ascii="Times New Roman" w:eastAsia="Times New Roman" w:hAnsi="Times New Roman" w:cs="Times New Roman"/>
          <w:b/>
          <w:bCs/>
          <w:sz w:val="24"/>
          <w:szCs w:val="24"/>
          <w:lang w:eastAsia="en-IE"/>
        </w:rPr>
        <w:t>Health Credits and community rating stamp duty for</w:t>
      </w:r>
      <w:r>
        <w:rPr>
          <w:rFonts w:ascii="Times New Roman" w:eastAsia="Times New Roman" w:hAnsi="Times New Roman" w:cs="Times New Roman"/>
          <w:b/>
          <w:bCs/>
          <w:sz w:val="24"/>
          <w:szCs w:val="24"/>
          <w:lang w:eastAsia="en-IE"/>
        </w:rPr>
        <w:t xml:space="preserve"> policies renewing from 1 March 2015 to 28 February 2016</w:t>
      </w:r>
      <w:r w:rsidRPr="00732196">
        <w:rPr>
          <w:rFonts w:ascii="Times New Roman" w:eastAsia="Times New Roman" w:hAnsi="Times New Roman" w:cs="Times New Roman"/>
          <w:b/>
          <w:bCs/>
          <w:sz w:val="24"/>
          <w:szCs w:val="24"/>
          <w:lang w:eastAsia="en-IE"/>
        </w:rPr>
        <w:t>.</w:t>
      </w:r>
    </w:p>
    <w:p w:rsidR="00931E3C" w:rsidRDefault="00931E3C" w:rsidP="00931E3C">
      <w:pPr>
        <w:spacing w:before="100" w:beforeAutospacing="1" w:after="100" w:afterAutospacing="1" w:line="240" w:lineRule="auto"/>
        <w:rPr>
          <w:rFonts w:ascii="Times New Roman" w:eastAsia="Times New Roman" w:hAnsi="Times New Roman" w:cs="Times New Roman"/>
          <w:sz w:val="24"/>
          <w:szCs w:val="24"/>
          <w:lang w:eastAsia="en-IE"/>
        </w:rPr>
      </w:pPr>
      <w:r w:rsidRPr="00732196">
        <w:rPr>
          <w:rFonts w:ascii="Times New Roman" w:eastAsia="Times New Roman" w:hAnsi="Times New Roman" w:cs="Times New Roman"/>
          <w:sz w:val="24"/>
          <w:szCs w:val="24"/>
          <w:lang w:eastAsia="en-IE"/>
        </w:rPr>
        <w:t>The amounts of the health credits and community rating health insurance l</w:t>
      </w:r>
      <w:r>
        <w:rPr>
          <w:rFonts w:ascii="Times New Roman" w:eastAsia="Times New Roman" w:hAnsi="Times New Roman" w:cs="Times New Roman"/>
          <w:sz w:val="24"/>
          <w:szCs w:val="24"/>
          <w:lang w:eastAsia="en-IE"/>
        </w:rPr>
        <w:t>evy for policies renewing from 1 March 2015 to 28 February 2016</w:t>
      </w:r>
      <w:r w:rsidRPr="00732196">
        <w:rPr>
          <w:rFonts w:ascii="Times New Roman" w:eastAsia="Times New Roman" w:hAnsi="Times New Roman" w:cs="Times New Roman"/>
          <w:sz w:val="24"/>
          <w:szCs w:val="24"/>
          <w:lang w:eastAsia="en-IE"/>
        </w:rPr>
        <w:t xml:space="preserve"> are as follows:</w:t>
      </w:r>
    </w:p>
    <w:tbl>
      <w:tblPr>
        <w:tblW w:w="20217" w:type="dxa"/>
        <w:tblLook w:val="04A0" w:firstRow="1" w:lastRow="0" w:firstColumn="1" w:lastColumn="0" w:noHBand="0" w:noVBand="1"/>
      </w:tblPr>
      <w:tblGrid>
        <w:gridCol w:w="3082"/>
        <w:gridCol w:w="1596"/>
        <w:gridCol w:w="1451"/>
        <w:gridCol w:w="250"/>
        <w:gridCol w:w="1134"/>
        <w:gridCol w:w="425"/>
        <w:gridCol w:w="709"/>
        <w:gridCol w:w="599"/>
        <w:gridCol w:w="252"/>
        <w:gridCol w:w="5002"/>
        <w:gridCol w:w="276"/>
        <w:gridCol w:w="5441"/>
      </w:tblGrid>
      <w:tr w:rsidR="00931E3C" w:rsidRPr="00931E3C" w:rsidTr="00607FC3">
        <w:trPr>
          <w:trHeight w:val="255"/>
        </w:trPr>
        <w:tc>
          <w:tcPr>
            <w:tcW w:w="308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3047"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3117" w:type="dxa"/>
            <w:gridSpan w:val="5"/>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5254"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276"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5441"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01/03/15 -28/02/2016</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Age range</w:t>
            </w:r>
          </w:p>
        </w:tc>
        <w:tc>
          <w:tcPr>
            <w:tcW w:w="3297" w:type="dxa"/>
            <w:gridSpan w:val="3"/>
            <w:tcBorders>
              <w:top w:val="single" w:sz="4" w:space="0" w:color="auto"/>
              <w:left w:val="nil"/>
              <w:bottom w:val="single" w:sz="4" w:space="0" w:color="auto"/>
              <w:right w:val="single" w:sz="4" w:space="0" w:color="000000"/>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Non-advanced cover</w:t>
            </w:r>
          </w:p>
        </w:tc>
        <w:tc>
          <w:tcPr>
            <w:tcW w:w="311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Advanced cover</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 </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Male</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Female</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Male</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Female</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60-64</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€425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€300</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65-69</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€525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€1,075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€725</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70-74</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€825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€1,750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€1,200</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75-79</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€1,025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€2,250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€1,700</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80-84</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€1,475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€1,025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€2,975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€2,125</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85+</w:t>
            </w:r>
          </w:p>
        </w:tc>
        <w:tc>
          <w:tcPr>
            <w:tcW w:w="1596" w:type="dxa"/>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€1,750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€1,125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€3,725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€2,475</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255"/>
        </w:trPr>
        <w:tc>
          <w:tcPr>
            <w:tcW w:w="308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96"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701"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59"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60"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Stamp duty table</w:t>
            </w:r>
          </w:p>
        </w:tc>
        <w:tc>
          <w:tcPr>
            <w:tcW w:w="1596"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701"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59"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60"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255"/>
        </w:trPr>
        <w:tc>
          <w:tcPr>
            <w:tcW w:w="308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96"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701"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59"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560"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 </w:t>
            </w:r>
          </w:p>
        </w:tc>
        <w:tc>
          <w:tcPr>
            <w:tcW w:w="6416" w:type="dxa"/>
            <w:gridSpan w:val="8"/>
            <w:tcBorders>
              <w:top w:val="single" w:sz="4" w:space="0" w:color="auto"/>
              <w:left w:val="nil"/>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01/03/15 - 28/02/2016</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4431" w:type="dxa"/>
            <w:gridSpan w:val="4"/>
            <w:tcBorders>
              <w:top w:val="single" w:sz="4" w:space="0" w:color="auto"/>
              <w:left w:val="nil"/>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Non-advanced cover</w:t>
            </w:r>
          </w:p>
        </w:tc>
        <w:tc>
          <w:tcPr>
            <w:tcW w:w="1985" w:type="dxa"/>
            <w:gridSpan w:val="4"/>
            <w:tcBorders>
              <w:top w:val="single" w:sz="4" w:space="0" w:color="auto"/>
              <w:left w:val="nil"/>
              <w:bottom w:val="single" w:sz="4" w:space="0" w:color="auto"/>
              <w:right w:val="single" w:sz="4" w:space="0" w:color="auto"/>
            </w:tcBorders>
            <w:shd w:val="clear" w:color="auto" w:fill="auto"/>
            <w:vAlign w:val="bottom"/>
            <w:hideMark/>
          </w:tcPr>
          <w:p w:rsidR="00931E3C" w:rsidRPr="00931E3C" w:rsidRDefault="00931E3C" w:rsidP="00931E3C">
            <w:pPr>
              <w:spacing w:line="240" w:lineRule="auto"/>
              <w:jc w:val="center"/>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Advanced cover</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Under 18</w:t>
            </w:r>
          </w:p>
        </w:tc>
        <w:tc>
          <w:tcPr>
            <w:tcW w:w="3047"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€80</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€135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300"/>
        </w:trPr>
        <w:tc>
          <w:tcPr>
            <w:tcW w:w="3082" w:type="dxa"/>
            <w:tcBorders>
              <w:top w:val="nil"/>
              <w:left w:val="single" w:sz="4" w:space="0" w:color="auto"/>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Calibri" w:eastAsia="Times New Roman" w:hAnsi="Calibri" w:cs="Arial"/>
                <w:b/>
                <w:bCs/>
                <w:color w:val="000000"/>
                <w:lang w:eastAsia="en-IE"/>
              </w:rPr>
            </w:pPr>
            <w:r w:rsidRPr="00931E3C">
              <w:rPr>
                <w:rFonts w:ascii="Calibri" w:eastAsia="Times New Roman" w:hAnsi="Calibri" w:cs="Arial"/>
                <w:b/>
                <w:bCs/>
                <w:color w:val="000000"/>
                <w:lang w:eastAsia="en-IE"/>
              </w:rPr>
              <w:t>Over 18</w:t>
            </w:r>
          </w:p>
        </w:tc>
        <w:tc>
          <w:tcPr>
            <w:tcW w:w="3047"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€240</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jc w:val="right"/>
              <w:rPr>
                <w:rFonts w:ascii="Arial" w:eastAsia="Times New Roman" w:hAnsi="Arial" w:cs="Arial"/>
                <w:sz w:val="20"/>
                <w:szCs w:val="20"/>
                <w:lang w:eastAsia="en-IE"/>
              </w:rPr>
            </w:pPr>
            <w:r w:rsidRPr="00931E3C">
              <w:rPr>
                <w:rFonts w:ascii="Arial" w:eastAsia="Times New Roman" w:hAnsi="Arial" w:cs="Arial"/>
                <w:sz w:val="20"/>
                <w:szCs w:val="20"/>
                <w:lang w:eastAsia="en-IE"/>
              </w:rPr>
              <w:t>€399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w:t>
            </w: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255"/>
        </w:trPr>
        <w:tc>
          <w:tcPr>
            <w:tcW w:w="3082" w:type="dxa"/>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3047"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384"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134"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851" w:type="dxa"/>
            <w:gridSpan w:val="2"/>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c>
          <w:tcPr>
            <w:tcW w:w="10719" w:type="dxa"/>
            <w:gridSpan w:val="3"/>
            <w:tcBorders>
              <w:top w:val="nil"/>
              <w:left w:val="nil"/>
              <w:bottom w:val="nil"/>
              <w:right w:val="nil"/>
            </w:tcBorders>
            <w:shd w:val="clear" w:color="auto" w:fill="auto"/>
            <w:noWrap/>
            <w:vAlign w:val="bottom"/>
            <w:hideMark/>
          </w:tcPr>
          <w:p w:rsidR="00931E3C" w:rsidRPr="00931E3C" w:rsidRDefault="00931E3C" w:rsidP="00931E3C">
            <w:pPr>
              <w:spacing w:line="240" w:lineRule="auto"/>
              <w:rPr>
                <w:rFonts w:ascii="Arial" w:eastAsia="Times New Roman" w:hAnsi="Arial" w:cs="Arial"/>
                <w:sz w:val="20"/>
                <w:szCs w:val="20"/>
                <w:lang w:eastAsia="en-IE"/>
              </w:rPr>
            </w:pPr>
          </w:p>
        </w:tc>
      </w:tr>
      <w:tr w:rsidR="00931E3C" w:rsidRPr="00931E3C" w:rsidTr="00607FC3">
        <w:trPr>
          <w:trHeight w:val="255"/>
        </w:trPr>
        <w:tc>
          <w:tcPr>
            <w:tcW w:w="20217" w:type="dxa"/>
            <w:gridSpan w:val="12"/>
            <w:tcBorders>
              <w:top w:val="nil"/>
              <w:left w:val="nil"/>
              <w:bottom w:val="nil"/>
              <w:right w:val="nil"/>
            </w:tcBorders>
            <w:shd w:val="clear" w:color="auto" w:fill="auto"/>
            <w:noWrap/>
            <w:vAlign w:val="bottom"/>
            <w:hideMark/>
          </w:tcPr>
          <w:p w:rsidR="00F44C38"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 xml:space="preserve">For policies commencing between 01/03/15 to 28/02/2016, a hospital bed utilisation payment of €90 is </w:t>
            </w:r>
          </w:p>
          <w:p w:rsidR="00931E3C" w:rsidRPr="00931E3C" w:rsidRDefault="00931E3C" w:rsidP="00931E3C">
            <w:pPr>
              <w:spacing w:line="240" w:lineRule="auto"/>
              <w:rPr>
                <w:rFonts w:ascii="Arial" w:eastAsia="Times New Roman" w:hAnsi="Arial" w:cs="Arial"/>
                <w:sz w:val="20"/>
                <w:szCs w:val="20"/>
                <w:lang w:eastAsia="en-IE"/>
              </w:rPr>
            </w:pPr>
            <w:r w:rsidRPr="00931E3C">
              <w:rPr>
                <w:rFonts w:ascii="Arial" w:eastAsia="Times New Roman" w:hAnsi="Arial" w:cs="Arial"/>
                <w:sz w:val="20"/>
                <w:szCs w:val="20"/>
                <w:lang w:eastAsia="en-IE"/>
              </w:rPr>
              <w:t>paid in respect of each night s</w:t>
            </w:r>
            <w:r w:rsidR="000C7A01">
              <w:rPr>
                <w:rFonts w:ascii="Arial" w:eastAsia="Times New Roman" w:hAnsi="Arial" w:cs="Arial"/>
                <w:sz w:val="20"/>
                <w:szCs w:val="20"/>
                <w:lang w:eastAsia="en-IE"/>
              </w:rPr>
              <w:t xml:space="preserve">pent in private hospital </w:t>
            </w:r>
            <w:r w:rsidRPr="00931E3C">
              <w:rPr>
                <w:rFonts w:ascii="Arial" w:eastAsia="Times New Roman" w:hAnsi="Arial" w:cs="Arial"/>
                <w:sz w:val="20"/>
                <w:szCs w:val="20"/>
                <w:lang w:eastAsia="en-IE"/>
              </w:rPr>
              <w:t>accommodation by an insured person.</w:t>
            </w:r>
          </w:p>
        </w:tc>
      </w:tr>
    </w:tbl>
    <w:p w:rsidR="00607FC3" w:rsidRDefault="00607FC3" w:rsidP="00607FC3">
      <w:pPr>
        <w:spacing w:before="100" w:beforeAutospacing="1" w:after="100" w:afterAutospacing="1" w:line="240" w:lineRule="auto"/>
        <w:rPr>
          <w:rFonts w:ascii="Times New Roman" w:eastAsia="Times New Roman" w:hAnsi="Times New Roman" w:cs="Times New Roman"/>
          <w:b/>
          <w:bCs/>
          <w:sz w:val="24"/>
          <w:szCs w:val="24"/>
          <w:lang w:eastAsia="en-IE"/>
        </w:rPr>
      </w:pPr>
    </w:p>
    <w:p w:rsidR="005F4C4F" w:rsidRDefault="005F4C4F" w:rsidP="00607FC3">
      <w:pPr>
        <w:spacing w:before="100" w:beforeAutospacing="1" w:after="100" w:afterAutospacing="1" w:line="240" w:lineRule="auto"/>
        <w:rPr>
          <w:rFonts w:ascii="Times New Roman" w:eastAsia="Times New Roman" w:hAnsi="Times New Roman" w:cs="Times New Roman"/>
          <w:b/>
          <w:bCs/>
          <w:sz w:val="24"/>
          <w:szCs w:val="24"/>
          <w:lang w:eastAsia="en-IE"/>
        </w:rPr>
      </w:pPr>
    </w:p>
    <w:p w:rsidR="005F4C4F" w:rsidRDefault="005F4C4F" w:rsidP="00607FC3">
      <w:pPr>
        <w:spacing w:before="100" w:beforeAutospacing="1" w:after="100" w:afterAutospacing="1" w:line="240" w:lineRule="auto"/>
        <w:rPr>
          <w:rFonts w:ascii="Times New Roman" w:eastAsia="Times New Roman" w:hAnsi="Times New Roman" w:cs="Times New Roman"/>
          <w:b/>
          <w:bCs/>
          <w:sz w:val="24"/>
          <w:szCs w:val="24"/>
          <w:lang w:eastAsia="en-IE"/>
        </w:rPr>
      </w:pPr>
    </w:p>
    <w:p w:rsidR="005F4C4F" w:rsidRDefault="005F4C4F" w:rsidP="00607FC3">
      <w:pPr>
        <w:spacing w:before="100" w:beforeAutospacing="1" w:after="100" w:afterAutospacing="1" w:line="240" w:lineRule="auto"/>
        <w:rPr>
          <w:rFonts w:ascii="Times New Roman" w:eastAsia="Times New Roman" w:hAnsi="Times New Roman" w:cs="Times New Roman"/>
          <w:b/>
          <w:bCs/>
          <w:sz w:val="24"/>
          <w:szCs w:val="24"/>
          <w:lang w:eastAsia="en-IE"/>
        </w:rPr>
      </w:pPr>
    </w:p>
    <w:p w:rsidR="005F4C4F" w:rsidRDefault="005F4C4F" w:rsidP="00607FC3">
      <w:pPr>
        <w:spacing w:before="100" w:beforeAutospacing="1" w:after="100" w:afterAutospacing="1" w:line="240" w:lineRule="auto"/>
        <w:rPr>
          <w:rFonts w:ascii="Times New Roman" w:eastAsia="Times New Roman" w:hAnsi="Times New Roman" w:cs="Times New Roman"/>
          <w:b/>
          <w:bCs/>
          <w:sz w:val="24"/>
          <w:szCs w:val="24"/>
          <w:lang w:eastAsia="en-IE"/>
        </w:rPr>
      </w:pPr>
    </w:p>
    <w:p w:rsidR="005F4C4F" w:rsidRDefault="005F4C4F" w:rsidP="00607FC3">
      <w:pPr>
        <w:spacing w:before="100" w:beforeAutospacing="1" w:after="100" w:afterAutospacing="1" w:line="240" w:lineRule="auto"/>
        <w:rPr>
          <w:rFonts w:ascii="Times New Roman" w:eastAsia="Times New Roman" w:hAnsi="Times New Roman" w:cs="Times New Roman"/>
          <w:b/>
          <w:bCs/>
          <w:sz w:val="24"/>
          <w:szCs w:val="24"/>
          <w:lang w:eastAsia="en-IE"/>
        </w:rPr>
      </w:pPr>
    </w:p>
    <w:p w:rsidR="00607FC3" w:rsidRPr="00607FC3" w:rsidRDefault="00607FC3" w:rsidP="00607FC3">
      <w:pPr>
        <w:spacing w:before="100" w:beforeAutospacing="1" w:after="100" w:afterAutospacing="1" w:line="240" w:lineRule="auto"/>
        <w:rPr>
          <w:rFonts w:ascii="Times New Roman" w:eastAsia="Times New Roman" w:hAnsi="Times New Roman" w:cs="Times New Roman"/>
          <w:b/>
          <w:bCs/>
          <w:sz w:val="24"/>
          <w:szCs w:val="24"/>
          <w:lang w:eastAsia="en-IE"/>
        </w:rPr>
      </w:pPr>
      <w:r w:rsidRPr="00732196">
        <w:rPr>
          <w:rFonts w:ascii="Times New Roman" w:eastAsia="Times New Roman" w:hAnsi="Times New Roman" w:cs="Times New Roman"/>
          <w:b/>
          <w:bCs/>
          <w:sz w:val="24"/>
          <w:szCs w:val="24"/>
          <w:lang w:eastAsia="en-IE"/>
        </w:rPr>
        <w:lastRenderedPageBreak/>
        <w:t>Health Credits and community rating stamp duty for</w:t>
      </w:r>
      <w:r>
        <w:rPr>
          <w:rFonts w:ascii="Times New Roman" w:eastAsia="Times New Roman" w:hAnsi="Times New Roman" w:cs="Times New Roman"/>
          <w:b/>
          <w:bCs/>
          <w:sz w:val="24"/>
          <w:szCs w:val="24"/>
          <w:lang w:eastAsia="en-IE"/>
        </w:rPr>
        <w:t xml:space="preserve"> policies re</w:t>
      </w:r>
      <w:r w:rsidR="00E3652A">
        <w:rPr>
          <w:rFonts w:ascii="Times New Roman" w:eastAsia="Times New Roman" w:hAnsi="Times New Roman" w:cs="Times New Roman"/>
          <w:b/>
          <w:bCs/>
          <w:sz w:val="24"/>
          <w:szCs w:val="24"/>
          <w:lang w:eastAsia="en-IE"/>
        </w:rPr>
        <w:t>newing from 1 March 2016 to 31 March 2017</w:t>
      </w:r>
    </w:p>
    <w:tbl>
      <w:tblPr>
        <w:tblW w:w="7979" w:type="dxa"/>
        <w:tblInd w:w="93" w:type="dxa"/>
        <w:tblLook w:val="04A0" w:firstRow="1" w:lastRow="0" w:firstColumn="1" w:lastColumn="0" w:noHBand="0" w:noVBand="1"/>
      </w:tblPr>
      <w:tblGrid>
        <w:gridCol w:w="1884"/>
        <w:gridCol w:w="1701"/>
        <w:gridCol w:w="1276"/>
        <w:gridCol w:w="1417"/>
        <w:gridCol w:w="1701"/>
      </w:tblGrid>
      <w:tr w:rsidR="00607FC3" w:rsidRPr="0072755C" w:rsidTr="00607FC3">
        <w:trPr>
          <w:trHeight w:val="300"/>
        </w:trPr>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Age range</w:t>
            </w:r>
          </w:p>
        </w:tc>
        <w:tc>
          <w:tcPr>
            <w:tcW w:w="2977" w:type="dxa"/>
            <w:gridSpan w:val="2"/>
            <w:tcBorders>
              <w:top w:val="single" w:sz="4" w:space="0" w:color="auto"/>
              <w:left w:val="nil"/>
              <w:bottom w:val="single" w:sz="4" w:space="0" w:color="auto"/>
              <w:right w:val="single" w:sz="4" w:space="0" w:color="000000"/>
            </w:tcBorders>
            <w:shd w:val="clear" w:color="auto" w:fill="auto"/>
            <w:vAlign w:val="bottom"/>
            <w:hideMark/>
          </w:tcPr>
          <w:p w:rsidR="00607FC3" w:rsidRPr="0072755C" w:rsidRDefault="00607FC3" w:rsidP="009852DC">
            <w:pPr>
              <w:jc w:val="cente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Non-advanced cover</w:t>
            </w:r>
          </w:p>
        </w:tc>
        <w:tc>
          <w:tcPr>
            <w:tcW w:w="3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07FC3" w:rsidRPr="0072755C" w:rsidRDefault="00607FC3" w:rsidP="009852DC">
            <w:pPr>
              <w:jc w:val="cente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Advanced cover</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 </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Male</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Female</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Male</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Female</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60-64</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€0</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€0</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€0</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€0</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65-69</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€575</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€375</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€1,125</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€800</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70-74</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€900</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€675</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€1,800</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€1,300</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75-79</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€1,175</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€850</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€2,550</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€1,900</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80-84</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€1,100</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€3,375</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€2,375</w:t>
            </w:r>
          </w:p>
        </w:tc>
      </w:tr>
      <w:tr w:rsidR="00607FC3" w:rsidRPr="0072755C" w:rsidTr="00607FC3">
        <w:trPr>
          <w:trHeight w:val="300"/>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85+</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€1,775</w:t>
            </w:r>
          </w:p>
        </w:tc>
        <w:tc>
          <w:tcPr>
            <w:tcW w:w="1276"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€1,250</w:t>
            </w:r>
          </w:p>
        </w:tc>
        <w:tc>
          <w:tcPr>
            <w:tcW w:w="1417"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€4,150</w:t>
            </w:r>
          </w:p>
        </w:tc>
        <w:tc>
          <w:tcPr>
            <w:tcW w:w="1701"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€2,775</w:t>
            </w:r>
          </w:p>
        </w:tc>
      </w:tr>
    </w:tbl>
    <w:p w:rsidR="00607FC3" w:rsidRDefault="00607FC3" w:rsidP="00607FC3">
      <w:pPr>
        <w:spacing w:before="100" w:beforeAutospacing="1" w:after="100" w:afterAutospacing="1"/>
        <w:rPr>
          <w:rFonts w:eastAsia="Times New Roman" w:cs="Times New Roman"/>
          <w:lang w:eastAsia="en-IE"/>
        </w:rPr>
      </w:pPr>
      <w:r w:rsidRPr="00AC3156">
        <w:rPr>
          <w:rFonts w:eastAsia="Times New Roman" w:cs="Times New Roman"/>
          <w:lang w:eastAsia="en-IE"/>
        </w:rPr>
        <w:t>A hospita</w:t>
      </w:r>
      <w:r>
        <w:rPr>
          <w:rFonts w:eastAsia="Times New Roman" w:cs="Times New Roman"/>
          <w:lang w:eastAsia="en-IE"/>
        </w:rPr>
        <w:t xml:space="preserve">l bed utilisation payment </w:t>
      </w:r>
      <w:r w:rsidRPr="00AC3156">
        <w:rPr>
          <w:rFonts w:eastAsia="Times New Roman" w:cs="Times New Roman"/>
          <w:lang w:eastAsia="en-IE"/>
        </w:rPr>
        <w:t xml:space="preserve">is paid in respect on each night </w:t>
      </w:r>
      <w:r w:rsidR="000C7A01">
        <w:rPr>
          <w:rFonts w:eastAsia="Times New Roman" w:cs="Times New Roman"/>
          <w:lang w:eastAsia="en-IE"/>
        </w:rPr>
        <w:t>spent in private hospital</w:t>
      </w:r>
      <w:r w:rsidRPr="00AC3156">
        <w:rPr>
          <w:rFonts w:eastAsia="Times New Roman" w:cs="Times New Roman"/>
          <w:lang w:eastAsia="en-IE"/>
        </w:rPr>
        <w:t xml:space="preserve"> acco</w:t>
      </w:r>
      <w:r>
        <w:rPr>
          <w:rFonts w:eastAsia="Times New Roman" w:cs="Times New Roman"/>
          <w:lang w:eastAsia="en-IE"/>
        </w:rPr>
        <w:t>mmodation by an insured person, along with day case shown below:</w:t>
      </w:r>
    </w:p>
    <w:tbl>
      <w:tblPr>
        <w:tblW w:w="3868" w:type="dxa"/>
        <w:tblInd w:w="93" w:type="dxa"/>
        <w:tblLook w:val="04A0" w:firstRow="1" w:lastRow="0" w:firstColumn="1" w:lastColumn="0" w:noHBand="0" w:noVBand="1"/>
      </w:tblPr>
      <w:tblGrid>
        <w:gridCol w:w="2026"/>
        <w:gridCol w:w="1842"/>
      </w:tblGrid>
      <w:tr w:rsidR="00607FC3" w:rsidRPr="0072755C" w:rsidTr="00607FC3">
        <w:trPr>
          <w:trHeight w:val="300"/>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Overnight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€90.00</w:t>
            </w:r>
          </w:p>
        </w:tc>
      </w:tr>
      <w:tr w:rsidR="00607FC3" w:rsidRPr="0072755C" w:rsidTr="00607FC3">
        <w:trPr>
          <w:trHeight w:val="300"/>
        </w:trPr>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Day-Case</w:t>
            </w:r>
          </w:p>
        </w:tc>
        <w:tc>
          <w:tcPr>
            <w:tcW w:w="1842" w:type="dxa"/>
            <w:tcBorders>
              <w:top w:val="nil"/>
              <w:left w:val="nil"/>
              <w:bottom w:val="single" w:sz="4" w:space="0" w:color="auto"/>
              <w:right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€30.00</w:t>
            </w:r>
          </w:p>
        </w:tc>
      </w:tr>
    </w:tbl>
    <w:p w:rsidR="00607FC3" w:rsidRDefault="00607FC3" w:rsidP="00607FC3">
      <w:pPr>
        <w:spacing w:before="100" w:beforeAutospacing="1" w:after="100" w:afterAutospacing="1"/>
        <w:rPr>
          <w:rFonts w:eastAsia="Times New Roman" w:cs="Times New Roman"/>
          <w:lang w:eastAsia="en-IE"/>
        </w:rPr>
      </w:pPr>
    </w:p>
    <w:tbl>
      <w:tblPr>
        <w:tblW w:w="7696" w:type="dxa"/>
        <w:tblInd w:w="93" w:type="dxa"/>
        <w:tblLook w:val="04A0" w:firstRow="1" w:lastRow="0" w:firstColumn="1" w:lastColumn="0" w:noHBand="0" w:noVBand="1"/>
      </w:tblPr>
      <w:tblGrid>
        <w:gridCol w:w="2593"/>
        <w:gridCol w:w="802"/>
        <w:gridCol w:w="1749"/>
        <w:gridCol w:w="567"/>
        <w:gridCol w:w="1985"/>
      </w:tblGrid>
      <w:tr w:rsidR="00607FC3" w:rsidRPr="0072755C" w:rsidTr="00AC4971">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FC3" w:rsidRPr="00B54284" w:rsidRDefault="00607FC3" w:rsidP="009852DC">
            <w:pPr>
              <w:rPr>
                <w:rFonts w:ascii="Calibri" w:eastAsia="Times New Roman" w:hAnsi="Calibri" w:cs="Times New Roman"/>
                <w:b/>
                <w:color w:val="000000"/>
                <w:lang w:eastAsia="en-IE"/>
              </w:rPr>
            </w:pPr>
            <w:r w:rsidRPr="0072755C">
              <w:rPr>
                <w:rFonts w:ascii="Calibri" w:eastAsia="Times New Roman" w:hAnsi="Calibri" w:cs="Times New Roman"/>
                <w:color w:val="000000"/>
                <w:lang w:eastAsia="en-IE"/>
              </w:rPr>
              <w:t> </w:t>
            </w:r>
            <w:r w:rsidRPr="00B54284">
              <w:rPr>
                <w:rFonts w:ascii="Calibri" w:eastAsia="Times New Roman" w:hAnsi="Calibri" w:cs="Times New Roman"/>
                <w:b/>
                <w:color w:val="000000"/>
                <w:lang w:eastAsia="en-IE"/>
              </w:rPr>
              <w:t>Community Rating Stamp Duty</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607FC3" w:rsidRPr="0072755C" w:rsidRDefault="00607FC3" w:rsidP="009852DC">
            <w:pPr>
              <w:jc w:val="cente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Non-advanced cover</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607FC3" w:rsidRPr="0072755C" w:rsidRDefault="00607FC3" w:rsidP="009852DC">
            <w:pPr>
              <w:jc w:val="cente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Advanced cover</w:t>
            </w:r>
          </w:p>
        </w:tc>
      </w:tr>
      <w:tr w:rsidR="00607FC3" w:rsidRPr="0072755C" w:rsidTr="00AC4971">
        <w:trPr>
          <w:trHeight w:val="300"/>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Under 18</w:t>
            </w:r>
          </w:p>
        </w:tc>
        <w:tc>
          <w:tcPr>
            <w:tcW w:w="802" w:type="dxa"/>
            <w:tcBorders>
              <w:top w:val="single" w:sz="4" w:space="0" w:color="auto"/>
              <w:left w:val="nil"/>
              <w:bottom w:val="single" w:sz="4" w:space="0" w:color="auto"/>
            </w:tcBorders>
            <w:shd w:val="clear" w:color="auto" w:fill="auto"/>
            <w:noWrap/>
            <w:vAlign w:val="bottom"/>
            <w:hideMark/>
          </w:tcPr>
          <w:p w:rsidR="00607FC3" w:rsidRPr="0072755C" w:rsidRDefault="00607FC3" w:rsidP="00AE6280">
            <w:pPr>
              <w:jc w:val="center"/>
              <w:rPr>
                <w:rFonts w:ascii="Calibri" w:eastAsia="Times New Roman" w:hAnsi="Calibri" w:cs="Times New Roman"/>
                <w:color w:val="000000"/>
                <w:lang w:eastAsia="en-IE"/>
              </w:rPr>
            </w:pPr>
          </w:p>
        </w:tc>
        <w:tc>
          <w:tcPr>
            <w:tcW w:w="1749" w:type="dxa"/>
            <w:tcBorders>
              <w:top w:val="single" w:sz="4" w:space="0" w:color="auto"/>
              <w:bottom w:val="single" w:sz="4" w:space="0" w:color="auto"/>
              <w:right w:val="single" w:sz="4" w:space="0" w:color="auto"/>
            </w:tcBorders>
            <w:shd w:val="clear" w:color="auto" w:fill="auto"/>
            <w:noWrap/>
            <w:vAlign w:val="bottom"/>
          </w:tcPr>
          <w:p w:rsidR="00607FC3" w:rsidRPr="0072755C" w:rsidRDefault="00AE6280" w:rsidP="00AE6280">
            <w:pPr>
              <w:rPr>
                <w:rFonts w:ascii="Calibri" w:eastAsia="Times New Roman" w:hAnsi="Calibri" w:cs="Times New Roman"/>
                <w:color w:val="000000"/>
                <w:lang w:eastAsia="en-IE"/>
              </w:rPr>
            </w:pPr>
            <w:r>
              <w:rPr>
                <w:rFonts w:ascii="Calibri" w:eastAsia="Times New Roman" w:hAnsi="Calibri" w:cs="Times New Roman"/>
                <w:color w:val="000000"/>
                <w:lang w:eastAsia="en-IE"/>
              </w:rPr>
              <w:t>€67</w:t>
            </w:r>
          </w:p>
        </w:tc>
        <w:tc>
          <w:tcPr>
            <w:tcW w:w="567" w:type="dxa"/>
            <w:tcBorders>
              <w:top w:val="single" w:sz="4" w:space="0" w:color="auto"/>
              <w:left w:val="nil"/>
              <w:bottom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p>
        </w:tc>
        <w:tc>
          <w:tcPr>
            <w:tcW w:w="1985" w:type="dxa"/>
            <w:tcBorders>
              <w:top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 </w:t>
            </w:r>
            <w:r w:rsidR="00AE6280">
              <w:rPr>
                <w:rFonts w:ascii="Calibri" w:eastAsia="Times New Roman" w:hAnsi="Calibri" w:cs="Times New Roman"/>
                <w:color w:val="000000"/>
                <w:lang w:eastAsia="en-IE"/>
              </w:rPr>
              <w:t xml:space="preserve">         €134</w:t>
            </w:r>
          </w:p>
        </w:tc>
      </w:tr>
      <w:tr w:rsidR="00607FC3" w:rsidRPr="0072755C" w:rsidTr="00AC4971">
        <w:trPr>
          <w:trHeight w:val="300"/>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b/>
                <w:bCs/>
                <w:color w:val="000000"/>
                <w:lang w:eastAsia="en-IE"/>
              </w:rPr>
            </w:pPr>
            <w:r w:rsidRPr="0072755C">
              <w:rPr>
                <w:rFonts w:ascii="Calibri" w:eastAsia="Times New Roman" w:hAnsi="Calibri" w:cs="Times New Roman"/>
                <w:b/>
                <w:bCs/>
                <w:color w:val="000000"/>
                <w:lang w:eastAsia="en-IE"/>
              </w:rPr>
              <w:t>Over 18</w:t>
            </w:r>
          </w:p>
        </w:tc>
        <w:tc>
          <w:tcPr>
            <w:tcW w:w="802" w:type="dxa"/>
            <w:tcBorders>
              <w:top w:val="single" w:sz="4" w:space="0" w:color="auto"/>
              <w:left w:val="nil"/>
              <w:bottom w:val="single" w:sz="4" w:space="0" w:color="auto"/>
            </w:tcBorders>
            <w:shd w:val="clear" w:color="auto" w:fill="auto"/>
            <w:noWrap/>
            <w:vAlign w:val="bottom"/>
            <w:hideMark/>
          </w:tcPr>
          <w:p w:rsidR="00607FC3" w:rsidRPr="0072755C" w:rsidRDefault="00607FC3" w:rsidP="00AE6280">
            <w:pPr>
              <w:jc w:val="center"/>
              <w:rPr>
                <w:rFonts w:ascii="Calibri" w:eastAsia="Times New Roman" w:hAnsi="Calibri" w:cs="Times New Roman"/>
                <w:color w:val="000000"/>
                <w:lang w:eastAsia="en-IE"/>
              </w:rPr>
            </w:pPr>
          </w:p>
        </w:tc>
        <w:tc>
          <w:tcPr>
            <w:tcW w:w="1749" w:type="dxa"/>
            <w:tcBorders>
              <w:top w:val="single" w:sz="4" w:space="0" w:color="auto"/>
              <w:bottom w:val="single" w:sz="4" w:space="0" w:color="auto"/>
              <w:right w:val="single" w:sz="4" w:space="0" w:color="auto"/>
            </w:tcBorders>
            <w:shd w:val="clear" w:color="auto" w:fill="auto"/>
            <w:noWrap/>
            <w:vAlign w:val="bottom"/>
          </w:tcPr>
          <w:p w:rsidR="00607FC3" w:rsidRPr="0072755C" w:rsidRDefault="00AE6280" w:rsidP="00AE6280">
            <w:pPr>
              <w:rPr>
                <w:rFonts w:ascii="Calibri" w:eastAsia="Times New Roman" w:hAnsi="Calibri" w:cs="Times New Roman"/>
                <w:color w:val="000000"/>
                <w:lang w:eastAsia="en-IE"/>
              </w:rPr>
            </w:pPr>
            <w:r>
              <w:rPr>
                <w:rFonts w:ascii="Calibri" w:eastAsia="Times New Roman" w:hAnsi="Calibri" w:cs="Times New Roman"/>
                <w:color w:val="000000"/>
                <w:lang w:eastAsia="en-IE"/>
              </w:rPr>
              <w:t>€202</w:t>
            </w:r>
          </w:p>
        </w:tc>
        <w:tc>
          <w:tcPr>
            <w:tcW w:w="567" w:type="dxa"/>
            <w:tcBorders>
              <w:top w:val="single" w:sz="4" w:space="0" w:color="auto"/>
              <w:left w:val="nil"/>
              <w:bottom w:val="single" w:sz="4" w:space="0" w:color="auto"/>
            </w:tcBorders>
            <w:shd w:val="clear" w:color="auto" w:fill="auto"/>
            <w:noWrap/>
            <w:vAlign w:val="bottom"/>
            <w:hideMark/>
          </w:tcPr>
          <w:p w:rsidR="00607FC3" w:rsidRPr="0072755C" w:rsidRDefault="00607FC3" w:rsidP="009852DC">
            <w:pPr>
              <w:jc w:val="right"/>
              <w:rPr>
                <w:rFonts w:ascii="Calibri" w:eastAsia="Times New Roman" w:hAnsi="Calibri" w:cs="Times New Roman"/>
                <w:color w:val="000000"/>
                <w:lang w:eastAsia="en-IE"/>
              </w:rPr>
            </w:pPr>
          </w:p>
        </w:tc>
        <w:tc>
          <w:tcPr>
            <w:tcW w:w="1985" w:type="dxa"/>
            <w:tcBorders>
              <w:top w:val="single" w:sz="4" w:space="0" w:color="auto"/>
              <w:bottom w:val="single" w:sz="4" w:space="0" w:color="auto"/>
              <w:right w:val="single" w:sz="4" w:space="0" w:color="auto"/>
            </w:tcBorders>
            <w:shd w:val="clear" w:color="auto" w:fill="auto"/>
            <w:noWrap/>
            <w:vAlign w:val="bottom"/>
            <w:hideMark/>
          </w:tcPr>
          <w:p w:rsidR="00607FC3" w:rsidRPr="0072755C" w:rsidRDefault="00607FC3" w:rsidP="009852DC">
            <w:pPr>
              <w:rPr>
                <w:rFonts w:ascii="Calibri" w:eastAsia="Times New Roman" w:hAnsi="Calibri" w:cs="Times New Roman"/>
                <w:color w:val="000000"/>
                <w:lang w:eastAsia="en-IE"/>
              </w:rPr>
            </w:pPr>
            <w:r w:rsidRPr="0072755C">
              <w:rPr>
                <w:rFonts w:ascii="Calibri" w:eastAsia="Times New Roman" w:hAnsi="Calibri" w:cs="Times New Roman"/>
                <w:color w:val="000000"/>
                <w:lang w:eastAsia="en-IE"/>
              </w:rPr>
              <w:t> </w:t>
            </w:r>
            <w:r w:rsidR="00AE6280">
              <w:rPr>
                <w:rFonts w:ascii="Calibri" w:eastAsia="Times New Roman" w:hAnsi="Calibri" w:cs="Times New Roman"/>
                <w:color w:val="000000"/>
                <w:lang w:eastAsia="en-IE"/>
              </w:rPr>
              <w:t xml:space="preserve">         €403</w:t>
            </w:r>
          </w:p>
        </w:tc>
      </w:tr>
    </w:tbl>
    <w:p w:rsidR="00AC4971" w:rsidRDefault="00AC4971" w:rsidP="00AC4971">
      <w:pPr>
        <w:spacing w:line="240" w:lineRule="auto"/>
        <w:rPr>
          <w:rFonts w:ascii="Arial" w:eastAsia="Times New Roman" w:hAnsi="Arial" w:cs="Arial"/>
          <w:sz w:val="20"/>
          <w:szCs w:val="20"/>
          <w:lang w:eastAsia="en-IE"/>
        </w:rPr>
      </w:pPr>
    </w:p>
    <w:p w:rsidR="001F7326" w:rsidRDefault="001F7326"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CE1F21" w:rsidRPr="00A07F3B" w:rsidRDefault="00E3652A" w:rsidP="00CE1F21">
      <w:pPr>
        <w:rPr>
          <w:rFonts w:ascii="Times New Roman" w:hAnsi="Times New Roman" w:cs="Times New Roman"/>
          <w:color w:val="000000"/>
          <w:sz w:val="24"/>
          <w:szCs w:val="24"/>
        </w:rPr>
      </w:pPr>
      <w:r w:rsidRPr="00A07F3B">
        <w:rPr>
          <w:rFonts w:ascii="Times New Roman" w:hAnsi="Times New Roman" w:cs="Times New Roman"/>
          <w:b/>
          <w:color w:val="000000"/>
          <w:sz w:val="24"/>
          <w:szCs w:val="24"/>
        </w:rPr>
        <w:t xml:space="preserve">Rates Applying for Contracts Commencing/Renewing from 1 April 2017 </w:t>
      </w:r>
      <w:r w:rsidR="00CE1F21">
        <w:rPr>
          <w:rFonts w:ascii="Times New Roman" w:hAnsi="Times New Roman" w:cs="Times New Roman"/>
          <w:b/>
          <w:color w:val="000000"/>
          <w:sz w:val="24"/>
          <w:szCs w:val="24"/>
        </w:rPr>
        <w:t>to 31 March 2018</w:t>
      </w:r>
    </w:p>
    <w:p w:rsidR="00E3652A" w:rsidRPr="00A07F3B" w:rsidRDefault="00E3652A" w:rsidP="00E3652A">
      <w:pPr>
        <w:rPr>
          <w:rFonts w:ascii="Times New Roman" w:hAnsi="Times New Roman" w:cs="Times New Roman"/>
          <w:color w:val="000000"/>
          <w:sz w:val="24"/>
          <w:szCs w:val="24"/>
        </w:rPr>
      </w:pPr>
    </w:p>
    <w:p w:rsidR="00E3652A" w:rsidRPr="00A07F3B" w:rsidRDefault="00E3652A" w:rsidP="00E3652A">
      <w:pPr>
        <w:autoSpaceDE w:val="0"/>
        <w:autoSpaceDN w:val="0"/>
        <w:adjustRightInd w:val="0"/>
        <w:spacing w:after="120"/>
        <w:rPr>
          <w:rFonts w:ascii="Times New Roman" w:hAnsi="Times New Roman" w:cs="Times New Roman"/>
          <w:color w:val="000000"/>
          <w:sz w:val="24"/>
          <w:szCs w:val="24"/>
        </w:rPr>
      </w:pPr>
    </w:p>
    <w:p w:rsidR="00E3652A" w:rsidRPr="00A07F3B" w:rsidRDefault="00E3652A" w:rsidP="00E3652A">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Risk Equalisation Premium Credits</w:t>
      </w:r>
    </w:p>
    <w:tbl>
      <w:tblPr>
        <w:tblStyle w:val="TableGrid"/>
        <w:tblW w:w="7346" w:type="dxa"/>
        <w:jc w:val="center"/>
        <w:tblLook w:val="04A0" w:firstRow="1" w:lastRow="0" w:firstColumn="1" w:lastColumn="0" w:noHBand="0" w:noVBand="1"/>
      </w:tblPr>
      <w:tblGrid>
        <w:gridCol w:w="1838"/>
        <w:gridCol w:w="1354"/>
        <w:gridCol w:w="1400"/>
        <w:gridCol w:w="1354"/>
        <w:gridCol w:w="1400"/>
      </w:tblGrid>
      <w:tr w:rsidR="00E3652A" w:rsidRPr="00A07F3B" w:rsidTr="005B3DB3">
        <w:trPr>
          <w:jc w:val="center"/>
        </w:trPr>
        <w:tc>
          <w:tcPr>
            <w:tcW w:w="1838" w:type="dxa"/>
          </w:tcPr>
          <w:p w:rsidR="00E3652A" w:rsidRPr="00A07F3B" w:rsidRDefault="00E3652A" w:rsidP="005B3DB3">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Contract Type</w:t>
            </w:r>
          </w:p>
        </w:tc>
        <w:tc>
          <w:tcPr>
            <w:tcW w:w="2754" w:type="dxa"/>
            <w:gridSpan w:val="2"/>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Non-Advanced</w:t>
            </w:r>
          </w:p>
        </w:tc>
        <w:tc>
          <w:tcPr>
            <w:tcW w:w="2754" w:type="dxa"/>
            <w:gridSpan w:val="2"/>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Advanced</w:t>
            </w:r>
          </w:p>
        </w:tc>
      </w:tr>
      <w:tr w:rsidR="00E3652A" w:rsidRPr="00A07F3B" w:rsidTr="005B3DB3">
        <w:trPr>
          <w:jc w:val="center"/>
        </w:trPr>
        <w:tc>
          <w:tcPr>
            <w:tcW w:w="1838" w:type="dxa"/>
          </w:tcPr>
          <w:p w:rsidR="00E3652A" w:rsidRPr="00A07F3B" w:rsidRDefault="00E3652A" w:rsidP="005B3DB3">
            <w:pPr>
              <w:autoSpaceDE w:val="0"/>
              <w:autoSpaceDN w:val="0"/>
              <w:adjustRightInd w:val="0"/>
              <w:spacing w:after="120" w:line="276" w:lineRule="auto"/>
              <w:rPr>
                <w:rFonts w:ascii="Times New Roman" w:hAnsi="Times New Roman" w:cs="Times New Roman"/>
                <w:color w:val="000000"/>
                <w:sz w:val="24"/>
                <w:szCs w:val="24"/>
              </w:rPr>
            </w:pPr>
          </w:p>
        </w:tc>
        <w:tc>
          <w:tcPr>
            <w:tcW w:w="1354" w:type="dxa"/>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Male</w:t>
            </w:r>
          </w:p>
        </w:tc>
        <w:tc>
          <w:tcPr>
            <w:tcW w:w="1400" w:type="dxa"/>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Female</w:t>
            </w:r>
          </w:p>
        </w:tc>
        <w:tc>
          <w:tcPr>
            <w:tcW w:w="1354" w:type="dxa"/>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Male</w:t>
            </w:r>
          </w:p>
        </w:tc>
        <w:tc>
          <w:tcPr>
            <w:tcW w:w="1400" w:type="dxa"/>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Female</w:t>
            </w:r>
          </w:p>
        </w:tc>
      </w:tr>
      <w:tr w:rsidR="00E3652A" w:rsidRPr="00A07F3B" w:rsidTr="005B3DB3">
        <w:trPr>
          <w:jc w:val="center"/>
        </w:trPr>
        <w:tc>
          <w:tcPr>
            <w:tcW w:w="1838"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E3652A" w:rsidRPr="00A07F3B" w:rsidRDefault="00E3652A" w:rsidP="005B3DB3">
            <w:pPr>
              <w:rPr>
                <w:rFonts w:ascii="Times New Roman" w:hAnsi="Times New Roman" w:cs="Times New Roman"/>
                <w:color w:val="000000"/>
                <w:sz w:val="24"/>
                <w:szCs w:val="24"/>
              </w:rPr>
            </w:pPr>
            <w:r w:rsidRPr="00A07F3B">
              <w:rPr>
                <w:rFonts w:ascii="Times New Roman" w:hAnsi="Times New Roman" w:cs="Times New Roman"/>
                <w:color w:val="000000"/>
                <w:sz w:val="24"/>
                <w:szCs w:val="24"/>
              </w:rPr>
              <w:t>65-69</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€850</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€525</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€1,175</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€675</w:t>
            </w:r>
          </w:p>
        </w:tc>
      </w:tr>
      <w:tr w:rsidR="00E3652A" w:rsidRPr="00A07F3B" w:rsidTr="005B3DB3">
        <w:trPr>
          <w:jc w:val="center"/>
        </w:trPr>
        <w:tc>
          <w:tcPr>
            <w:tcW w:w="1838"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E3652A" w:rsidRPr="00A07F3B" w:rsidRDefault="00E3652A" w:rsidP="005B3DB3">
            <w:pPr>
              <w:rPr>
                <w:rFonts w:ascii="Times New Roman" w:hAnsi="Times New Roman" w:cs="Times New Roman"/>
                <w:color w:val="000000"/>
                <w:sz w:val="24"/>
                <w:szCs w:val="24"/>
              </w:rPr>
            </w:pPr>
            <w:r w:rsidRPr="00A07F3B">
              <w:rPr>
                <w:rFonts w:ascii="Times New Roman" w:hAnsi="Times New Roman" w:cs="Times New Roman"/>
                <w:color w:val="000000"/>
                <w:sz w:val="24"/>
                <w:szCs w:val="24"/>
              </w:rPr>
              <w:t>70-74</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€1,250</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€1,075</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€1,950</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€1,500</w:t>
            </w:r>
          </w:p>
        </w:tc>
      </w:tr>
      <w:tr w:rsidR="00E3652A" w:rsidRPr="00A07F3B" w:rsidTr="005B3DB3">
        <w:trPr>
          <w:jc w:val="center"/>
        </w:trPr>
        <w:tc>
          <w:tcPr>
            <w:tcW w:w="1838"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E3652A" w:rsidRPr="00A07F3B" w:rsidRDefault="00E3652A" w:rsidP="005B3DB3">
            <w:pPr>
              <w:rPr>
                <w:rFonts w:ascii="Times New Roman" w:hAnsi="Times New Roman" w:cs="Times New Roman"/>
                <w:color w:val="000000"/>
                <w:sz w:val="24"/>
                <w:szCs w:val="24"/>
              </w:rPr>
            </w:pPr>
            <w:r w:rsidRPr="00A07F3B">
              <w:rPr>
                <w:rFonts w:ascii="Times New Roman" w:hAnsi="Times New Roman" w:cs="Times New Roman"/>
                <w:color w:val="000000"/>
                <w:sz w:val="24"/>
                <w:szCs w:val="24"/>
              </w:rPr>
              <w:t>75-79</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€1,750</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€1,425</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€2,750</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€2,125</w:t>
            </w:r>
          </w:p>
        </w:tc>
      </w:tr>
      <w:tr w:rsidR="00E3652A" w:rsidRPr="00A07F3B" w:rsidTr="005B3DB3">
        <w:trPr>
          <w:jc w:val="center"/>
        </w:trPr>
        <w:tc>
          <w:tcPr>
            <w:tcW w:w="1838"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E3652A" w:rsidRPr="00A07F3B" w:rsidRDefault="00E3652A" w:rsidP="005B3DB3">
            <w:pPr>
              <w:rPr>
                <w:rFonts w:ascii="Times New Roman" w:hAnsi="Times New Roman" w:cs="Times New Roman"/>
                <w:color w:val="000000"/>
                <w:sz w:val="24"/>
                <w:szCs w:val="24"/>
              </w:rPr>
            </w:pPr>
            <w:r w:rsidRPr="00A07F3B">
              <w:rPr>
                <w:rFonts w:ascii="Times New Roman" w:hAnsi="Times New Roman" w:cs="Times New Roman"/>
                <w:color w:val="000000"/>
                <w:sz w:val="24"/>
                <w:szCs w:val="24"/>
              </w:rPr>
              <w:t>80-84</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€2,375</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€1,925</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€3,750</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€2,925</w:t>
            </w:r>
          </w:p>
        </w:tc>
      </w:tr>
      <w:tr w:rsidR="00E3652A" w:rsidRPr="00A07F3B" w:rsidTr="005B3DB3">
        <w:trPr>
          <w:jc w:val="center"/>
        </w:trPr>
        <w:tc>
          <w:tcPr>
            <w:tcW w:w="1838"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E3652A" w:rsidRPr="00A07F3B" w:rsidRDefault="00E3652A" w:rsidP="005B3DB3">
            <w:pPr>
              <w:rPr>
                <w:rFonts w:ascii="Times New Roman" w:hAnsi="Times New Roman" w:cs="Times New Roman"/>
                <w:color w:val="000000"/>
                <w:sz w:val="24"/>
                <w:szCs w:val="24"/>
              </w:rPr>
            </w:pPr>
            <w:r w:rsidRPr="00A07F3B">
              <w:rPr>
                <w:rFonts w:ascii="Times New Roman" w:hAnsi="Times New Roman" w:cs="Times New Roman"/>
                <w:color w:val="000000"/>
                <w:sz w:val="24"/>
                <w:szCs w:val="24"/>
              </w:rPr>
              <w:t>85 and above</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€2,975</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€2,375</w:t>
            </w:r>
          </w:p>
        </w:tc>
        <w:tc>
          <w:tcPr>
            <w:tcW w:w="1354"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€4,875</w:t>
            </w:r>
          </w:p>
        </w:tc>
        <w:tc>
          <w:tcPr>
            <w:tcW w:w="1400" w:type="dxa"/>
            <w:tcBorders>
              <w:top w:val="nil"/>
              <w:left w:val="nil"/>
              <w:bottom w:val="single" w:sz="8" w:space="0" w:color="auto"/>
              <w:right w:val="single" w:sz="8" w:space="0" w:color="auto"/>
            </w:tcBorders>
            <w:shd w:val="clear" w:color="auto" w:fill="auto"/>
            <w:vAlign w:val="bottom"/>
          </w:tcPr>
          <w:p w:rsidR="00E3652A" w:rsidRPr="00A07F3B" w:rsidRDefault="00E3652A" w:rsidP="005B3DB3">
            <w:pPr>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€3,700</w:t>
            </w:r>
          </w:p>
        </w:tc>
      </w:tr>
    </w:tbl>
    <w:p w:rsidR="00E3652A" w:rsidRPr="00A07F3B" w:rsidRDefault="00E3652A" w:rsidP="00E3652A">
      <w:pPr>
        <w:autoSpaceDE w:val="0"/>
        <w:autoSpaceDN w:val="0"/>
        <w:adjustRightInd w:val="0"/>
        <w:spacing w:after="120"/>
        <w:rPr>
          <w:rFonts w:ascii="Times New Roman" w:hAnsi="Times New Roman" w:cs="Times New Roman"/>
          <w:color w:val="000000"/>
          <w:sz w:val="24"/>
          <w:szCs w:val="24"/>
        </w:rPr>
      </w:pPr>
    </w:p>
    <w:p w:rsidR="00E3652A" w:rsidRPr="00A07F3B" w:rsidRDefault="00E3652A" w:rsidP="00E3652A">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lastRenderedPageBreak/>
        <w:t>A hospital utilisation credit of €90 is paid in respect of each qualifying night spent in hospital by an insured person. A hospital utilisation credit of €30 is paid in respect of each qualifying day admission to a hospital by an insured person.</w:t>
      </w:r>
    </w:p>
    <w:p w:rsidR="00E3652A" w:rsidRPr="00A07F3B" w:rsidRDefault="00E3652A" w:rsidP="00E3652A">
      <w:pPr>
        <w:autoSpaceDE w:val="0"/>
        <w:autoSpaceDN w:val="0"/>
        <w:adjustRightInd w:val="0"/>
        <w:spacing w:after="120"/>
        <w:rPr>
          <w:rFonts w:ascii="Times New Roman" w:hAnsi="Times New Roman" w:cs="Times New Roman"/>
          <w:color w:val="000000"/>
          <w:sz w:val="24"/>
          <w:szCs w:val="24"/>
        </w:rPr>
      </w:pPr>
    </w:p>
    <w:p w:rsidR="00E3652A" w:rsidRPr="00A07F3B" w:rsidRDefault="00E3652A" w:rsidP="00E3652A">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Community Rating Stamp Duties</w:t>
      </w:r>
    </w:p>
    <w:tbl>
      <w:tblPr>
        <w:tblStyle w:val="TableGrid"/>
        <w:tblW w:w="0" w:type="auto"/>
        <w:tblLook w:val="04A0" w:firstRow="1" w:lastRow="0" w:firstColumn="1" w:lastColumn="0" w:noHBand="0" w:noVBand="1"/>
      </w:tblPr>
      <w:tblGrid>
        <w:gridCol w:w="3005"/>
        <w:gridCol w:w="3005"/>
        <w:gridCol w:w="3006"/>
      </w:tblGrid>
      <w:tr w:rsidR="00E3652A" w:rsidRPr="00A07F3B" w:rsidTr="005B3DB3">
        <w:tc>
          <w:tcPr>
            <w:tcW w:w="3005" w:type="dxa"/>
          </w:tcPr>
          <w:p w:rsidR="00E3652A" w:rsidRPr="00A07F3B" w:rsidRDefault="00E3652A" w:rsidP="005B3DB3">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Community Rating Stamp Duties (Contract Type)</w:t>
            </w:r>
          </w:p>
        </w:tc>
        <w:tc>
          <w:tcPr>
            <w:tcW w:w="3005" w:type="dxa"/>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Non-Advanced</w:t>
            </w:r>
          </w:p>
        </w:tc>
        <w:tc>
          <w:tcPr>
            <w:tcW w:w="3006" w:type="dxa"/>
          </w:tcPr>
          <w:p w:rsidR="00E3652A" w:rsidRPr="00A07F3B" w:rsidRDefault="00E3652A" w:rsidP="005B3DB3">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Advanced</w:t>
            </w:r>
          </w:p>
        </w:tc>
      </w:tr>
      <w:tr w:rsidR="00E3652A" w:rsidRPr="00A07F3B" w:rsidTr="005B3DB3">
        <w:tc>
          <w:tcPr>
            <w:tcW w:w="3005" w:type="dxa"/>
          </w:tcPr>
          <w:p w:rsidR="00E3652A" w:rsidRPr="00A07F3B" w:rsidRDefault="00E3652A" w:rsidP="005B3DB3">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Adult (18 and over)</w:t>
            </w:r>
          </w:p>
        </w:tc>
        <w:tc>
          <w:tcPr>
            <w:tcW w:w="3005" w:type="dxa"/>
          </w:tcPr>
          <w:p w:rsidR="00E3652A" w:rsidRPr="00A07F3B" w:rsidRDefault="00E3652A" w:rsidP="005B3DB3">
            <w:pPr>
              <w:jc w:val="center"/>
              <w:rPr>
                <w:rFonts w:ascii="Times New Roman" w:hAnsi="Times New Roman" w:cs="Times New Roman"/>
                <w:sz w:val="24"/>
                <w:szCs w:val="24"/>
              </w:rPr>
            </w:pPr>
            <w:r w:rsidRPr="00A07F3B">
              <w:rPr>
                <w:rFonts w:ascii="Times New Roman" w:hAnsi="Times New Roman" w:cs="Times New Roman"/>
                <w:sz w:val="24"/>
                <w:szCs w:val="24"/>
              </w:rPr>
              <w:t>€222</w:t>
            </w:r>
          </w:p>
        </w:tc>
        <w:tc>
          <w:tcPr>
            <w:tcW w:w="3006" w:type="dxa"/>
          </w:tcPr>
          <w:p w:rsidR="00E3652A" w:rsidRPr="00A07F3B" w:rsidRDefault="00E3652A" w:rsidP="005B3DB3">
            <w:pPr>
              <w:jc w:val="center"/>
              <w:rPr>
                <w:rFonts w:ascii="Times New Roman" w:hAnsi="Times New Roman" w:cs="Times New Roman"/>
                <w:sz w:val="24"/>
                <w:szCs w:val="24"/>
              </w:rPr>
            </w:pPr>
            <w:r w:rsidRPr="00A07F3B">
              <w:rPr>
                <w:rFonts w:ascii="Times New Roman" w:hAnsi="Times New Roman" w:cs="Times New Roman"/>
                <w:sz w:val="24"/>
                <w:szCs w:val="24"/>
              </w:rPr>
              <w:t>€444</w:t>
            </w:r>
          </w:p>
        </w:tc>
      </w:tr>
      <w:tr w:rsidR="00E3652A" w:rsidRPr="00A07F3B" w:rsidTr="005B3DB3">
        <w:tc>
          <w:tcPr>
            <w:tcW w:w="3005" w:type="dxa"/>
          </w:tcPr>
          <w:p w:rsidR="00E3652A" w:rsidRPr="00A07F3B" w:rsidRDefault="00E3652A" w:rsidP="005B3DB3">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Child (17 and under)</w:t>
            </w:r>
          </w:p>
        </w:tc>
        <w:tc>
          <w:tcPr>
            <w:tcW w:w="3005" w:type="dxa"/>
          </w:tcPr>
          <w:p w:rsidR="00E3652A" w:rsidRPr="00A07F3B" w:rsidRDefault="00E3652A" w:rsidP="005B3DB3">
            <w:pPr>
              <w:jc w:val="center"/>
              <w:rPr>
                <w:rFonts w:ascii="Times New Roman" w:hAnsi="Times New Roman" w:cs="Times New Roman"/>
                <w:sz w:val="24"/>
                <w:szCs w:val="24"/>
              </w:rPr>
            </w:pPr>
            <w:r w:rsidRPr="00A07F3B">
              <w:rPr>
                <w:rFonts w:ascii="Times New Roman" w:hAnsi="Times New Roman" w:cs="Times New Roman"/>
                <w:sz w:val="24"/>
                <w:szCs w:val="24"/>
              </w:rPr>
              <w:t>€74</w:t>
            </w:r>
          </w:p>
        </w:tc>
        <w:tc>
          <w:tcPr>
            <w:tcW w:w="3006" w:type="dxa"/>
          </w:tcPr>
          <w:p w:rsidR="00E3652A" w:rsidRPr="00A07F3B" w:rsidRDefault="00E3652A" w:rsidP="005B3DB3">
            <w:pPr>
              <w:jc w:val="center"/>
              <w:rPr>
                <w:rFonts w:ascii="Times New Roman" w:hAnsi="Times New Roman" w:cs="Times New Roman"/>
                <w:sz w:val="24"/>
                <w:szCs w:val="24"/>
              </w:rPr>
            </w:pPr>
            <w:r w:rsidRPr="00A07F3B">
              <w:rPr>
                <w:rFonts w:ascii="Times New Roman" w:hAnsi="Times New Roman" w:cs="Times New Roman"/>
                <w:sz w:val="24"/>
                <w:szCs w:val="24"/>
              </w:rPr>
              <w:t>€148</w:t>
            </w:r>
          </w:p>
        </w:tc>
      </w:tr>
    </w:tbl>
    <w:p w:rsidR="00E3652A" w:rsidRDefault="00E3652A" w:rsidP="00E3652A">
      <w:pPr>
        <w:autoSpaceDE w:val="0"/>
        <w:autoSpaceDN w:val="0"/>
        <w:adjustRightInd w:val="0"/>
        <w:spacing w:after="120"/>
        <w:rPr>
          <w:rFonts w:ascii="Times New Roman" w:hAnsi="Times New Roman" w:cs="Times New Roman"/>
          <w:color w:val="000000"/>
          <w:sz w:val="24"/>
          <w:szCs w:val="24"/>
        </w:rPr>
      </w:pPr>
    </w:p>
    <w:p w:rsidR="00D864E2" w:rsidRDefault="00CE1F21" w:rsidP="00D864E2">
      <w:pPr>
        <w:rPr>
          <w:rFonts w:ascii="Times New Roman" w:hAnsi="Times New Roman" w:cs="Times New Roman"/>
          <w:b/>
          <w:color w:val="000000"/>
          <w:sz w:val="24"/>
          <w:szCs w:val="24"/>
        </w:rPr>
      </w:pPr>
      <w:r w:rsidRPr="00A07F3B">
        <w:rPr>
          <w:rFonts w:ascii="Times New Roman" w:hAnsi="Times New Roman" w:cs="Times New Roman"/>
          <w:b/>
          <w:color w:val="000000"/>
          <w:sz w:val="24"/>
          <w:szCs w:val="24"/>
        </w:rPr>
        <w:t xml:space="preserve">Rates Applying for Contracts Commencing/Renewing from </w:t>
      </w:r>
      <w:r>
        <w:rPr>
          <w:rFonts w:ascii="Times New Roman" w:hAnsi="Times New Roman" w:cs="Times New Roman"/>
          <w:b/>
          <w:color w:val="000000"/>
          <w:sz w:val="24"/>
          <w:szCs w:val="24"/>
        </w:rPr>
        <w:t xml:space="preserve">1 April 2018 </w:t>
      </w:r>
      <w:r w:rsidR="00D864E2">
        <w:rPr>
          <w:rFonts w:ascii="Times New Roman" w:hAnsi="Times New Roman" w:cs="Times New Roman"/>
          <w:b/>
          <w:color w:val="000000"/>
          <w:sz w:val="24"/>
          <w:szCs w:val="24"/>
        </w:rPr>
        <w:t>to</w:t>
      </w:r>
    </w:p>
    <w:p w:rsidR="00CE1F21" w:rsidRPr="00A07F3B" w:rsidRDefault="00D864E2" w:rsidP="00D864E2">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31 March 2019</w:t>
      </w:r>
    </w:p>
    <w:p w:rsidR="00CE1F21" w:rsidRPr="00A07F3B" w:rsidRDefault="00CE1F21" w:rsidP="00CE1F21">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Risk Equalisation Premium Credits</w:t>
      </w:r>
    </w:p>
    <w:tbl>
      <w:tblPr>
        <w:tblStyle w:val="TableGrid"/>
        <w:tblW w:w="0" w:type="auto"/>
        <w:tblLook w:val="04A0" w:firstRow="1" w:lastRow="0" w:firstColumn="1" w:lastColumn="0" w:noHBand="0" w:noVBand="1"/>
      </w:tblPr>
      <w:tblGrid>
        <w:gridCol w:w="1803"/>
        <w:gridCol w:w="1803"/>
        <w:gridCol w:w="1803"/>
        <w:gridCol w:w="1803"/>
        <w:gridCol w:w="1804"/>
      </w:tblGrid>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Contract Type</w:t>
            </w:r>
          </w:p>
        </w:tc>
        <w:tc>
          <w:tcPr>
            <w:tcW w:w="3606" w:type="dxa"/>
            <w:gridSpan w:val="2"/>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Non-Advanced</w:t>
            </w:r>
          </w:p>
        </w:tc>
        <w:tc>
          <w:tcPr>
            <w:tcW w:w="3607" w:type="dxa"/>
            <w:gridSpan w:val="2"/>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Advanced</w:t>
            </w:r>
          </w:p>
        </w:tc>
      </w:tr>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p>
        </w:tc>
        <w:tc>
          <w:tcPr>
            <w:tcW w:w="1803" w:type="dxa"/>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Male</w:t>
            </w:r>
          </w:p>
        </w:tc>
        <w:tc>
          <w:tcPr>
            <w:tcW w:w="1803" w:type="dxa"/>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Female</w:t>
            </w:r>
          </w:p>
        </w:tc>
        <w:tc>
          <w:tcPr>
            <w:tcW w:w="1803" w:type="dxa"/>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Male</w:t>
            </w:r>
          </w:p>
        </w:tc>
        <w:tc>
          <w:tcPr>
            <w:tcW w:w="1804" w:type="dxa"/>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Female</w:t>
            </w:r>
          </w:p>
        </w:tc>
      </w:tr>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65-69</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€400</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€300</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€1,000</w:t>
            </w:r>
          </w:p>
        </w:tc>
        <w:tc>
          <w:tcPr>
            <w:tcW w:w="1804"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€650</w:t>
            </w:r>
          </w:p>
        </w:tc>
      </w:tr>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70-74</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€725</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€550</w:t>
            </w:r>
          </w:p>
        </w:tc>
        <w:tc>
          <w:tcPr>
            <w:tcW w:w="1803" w:type="dxa"/>
          </w:tcPr>
          <w:p w:rsidR="00CE1F21" w:rsidRPr="00A07F3B" w:rsidRDefault="00CE1F21" w:rsidP="00B6386A">
            <w:pPr>
              <w:jc w:val="center"/>
              <w:rPr>
                <w:rFonts w:ascii="Times New Roman" w:hAnsi="Times New Roman" w:cs="Times New Roman"/>
              </w:rPr>
            </w:pPr>
            <w:r w:rsidRPr="00A07F3B">
              <w:rPr>
                <w:rFonts w:ascii="Times New Roman" w:hAnsi="Times New Roman" w:cs="Times New Roman"/>
                <w:color w:val="000000"/>
                <w:sz w:val="24"/>
                <w:szCs w:val="24"/>
              </w:rPr>
              <w:t>€1,750</w:t>
            </w:r>
          </w:p>
        </w:tc>
        <w:tc>
          <w:tcPr>
            <w:tcW w:w="1804"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€1,250</w:t>
            </w:r>
          </w:p>
        </w:tc>
      </w:tr>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75-79</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€1,075</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€850</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€2,5</w:t>
            </w:r>
            <w:r w:rsidRPr="00A07F3B">
              <w:rPr>
                <w:rFonts w:ascii="Times New Roman" w:hAnsi="Times New Roman" w:cs="Times New Roman"/>
                <w:color w:val="000000"/>
                <w:sz w:val="24"/>
                <w:szCs w:val="24"/>
              </w:rPr>
              <w:t>50</w:t>
            </w:r>
          </w:p>
        </w:tc>
        <w:tc>
          <w:tcPr>
            <w:tcW w:w="1804"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€1,925</w:t>
            </w:r>
          </w:p>
        </w:tc>
      </w:tr>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80-84</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€1,450</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€1,150</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€3,450</w:t>
            </w:r>
          </w:p>
        </w:tc>
        <w:tc>
          <w:tcPr>
            <w:tcW w:w="1804"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€2,700</w:t>
            </w:r>
          </w:p>
        </w:tc>
      </w:tr>
      <w:tr w:rsidR="00CE1F21" w:rsidRPr="00A07F3B" w:rsidTr="00B6386A">
        <w:tc>
          <w:tcPr>
            <w:tcW w:w="1803"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85+</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€2,175</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€1,450</w:t>
            </w:r>
          </w:p>
        </w:tc>
        <w:tc>
          <w:tcPr>
            <w:tcW w:w="1803"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€4,975</w:t>
            </w:r>
          </w:p>
        </w:tc>
        <w:tc>
          <w:tcPr>
            <w:tcW w:w="1804" w:type="dxa"/>
          </w:tcPr>
          <w:p w:rsidR="00CE1F21" w:rsidRPr="00A07F3B" w:rsidRDefault="00CE1F21" w:rsidP="00B6386A">
            <w:pPr>
              <w:jc w:val="center"/>
              <w:rPr>
                <w:rFonts w:ascii="Times New Roman" w:hAnsi="Times New Roman" w:cs="Times New Roman"/>
              </w:rPr>
            </w:pPr>
            <w:r>
              <w:rPr>
                <w:rFonts w:ascii="Times New Roman" w:hAnsi="Times New Roman" w:cs="Times New Roman"/>
                <w:color w:val="000000"/>
                <w:sz w:val="24"/>
                <w:szCs w:val="24"/>
              </w:rPr>
              <w:t>€3,350</w:t>
            </w:r>
          </w:p>
        </w:tc>
      </w:tr>
    </w:tbl>
    <w:p w:rsidR="00CE1F21" w:rsidRPr="00A07F3B" w:rsidRDefault="00CE1F21" w:rsidP="00CE1F21">
      <w:pPr>
        <w:autoSpaceDE w:val="0"/>
        <w:autoSpaceDN w:val="0"/>
        <w:adjustRightInd w:val="0"/>
        <w:spacing w:after="120"/>
        <w:rPr>
          <w:rFonts w:ascii="Times New Roman" w:hAnsi="Times New Roman" w:cs="Times New Roman"/>
          <w:color w:val="000000"/>
          <w:sz w:val="24"/>
          <w:szCs w:val="24"/>
        </w:rPr>
      </w:pPr>
    </w:p>
    <w:p w:rsidR="00CE1F21" w:rsidRPr="00A07F3B" w:rsidRDefault="00CE1F21" w:rsidP="00CE1F21">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A hospital bed utilisation credit of €</w:t>
      </w:r>
      <w:r>
        <w:rPr>
          <w:rFonts w:ascii="Times New Roman" w:hAnsi="Times New Roman" w:cs="Times New Roman"/>
          <w:color w:val="000000"/>
          <w:sz w:val="24"/>
          <w:szCs w:val="24"/>
        </w:rPr>
        <w:t>100</w:t>
      </w:r>
      <w:r w:rsidRPr="00A07F3B">
        <w:rPr>
          <w:rFonts w:ascii="Times New Roman" w:hAnsi="Times New Roman" w:cs="Times New Roman"/>
          <w:color w:val="000000"/>
          <w:sz w:val="24"/>
          <w:szCs w:val="24"/>
        </w:rPr>
        <w:t xml:space="preserve"> is paid in respect of each qualifying night spent in hospital by an insured person.</w:t>
      </w:r>
      <w:r>
        <w:rPr>
          <w:rFonts w:ascii="Times New Roman" w:hAnsi="Times New Roman" w:cs="Times New Roman"/>
          <w:color w:val="000000"/>
          <w:sz w:val="24"/>
          <w:szCs w:val="24"/>
        </w:rPr>
        <w:t xml:space="preserve"> </w:t>
      </w:r>
      <w:r w:rsidRPr="00A07F3B">
        <w:rPr>
          <w:rFonts w:ascii="Times New Roman" w:hAnsi="Times New Roman" w:cs="Times New Roman"/>
          <w:color w:val="000000"/>
          <w:sz w:val="24"/>
          <w:szCs w:val="24"/>
        </w:rPr>
        <w:t>A hospital utilisation credit of €</w:t>
      </w:r>
      <w:r>
        <w:rPr>
          <w:rFonts w:ascii="Times New Roman" w:hAnsi="Times New Roman" w:cs="Times New Roman"/>
          <w:color w:val="000000"/>
          <w:sz w:val="24"/>
          <w:szCs w:val="24"/>
        </w:rPr>
        <w:t>5</w:t>
      </w:r>
      <w:r w:rsidRPr="00A07F3B">
        <w:rPr>
          <w:rFonts w:ascii="Times New Roman" w:hAnsi="Times New Roman" w:cs="Times New Roman"/>
          <w:color w:val="000000"/>
          <w:sz w:val="24"/>
          <w:szCs w:val="24"/>
        </w:rPr>
        <w:t>0 is paid in respect of each qualifying day admission to a hospital by an insured person.</w:t>
      </w:r>
    </w:p>
    <w:p w:rsidR="00CE1F21" w:rsidRPr="00A07F3B" w:rsidRDefault="00CE1F21" w:rsidP="00CE1F21">
      <w:pPr>
        <w:autoSpaceDE w:val="0"/>
        <w:autoSpaceDN w:val="0"/>
        <w:adjustRightInd w:val="0"/>
        <w:spacing w:after="120"/>
        <w:rPr>
          <w:rFonts w:ascii="Times New Roman" w:hAnsi="Times New Roman" w:cs="Times New Roman"/>
          <w:color w:val="000000"/>
          <w:sz w:val="24"/>
          <w:szCs w:val="24"/>
        </w:rPr>
      </w:pPr>
    </w:p>
    <w:p w:rsidR="00CE1F21" w:rsidRPr="00A07F3B" w:rsidRDefault="00CE1F21" w:rsidP="00CE1F21">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Community Rating Stamp Duties</w:t>
      </w:r>
    </w:p>
    <w:tbl>
      <w:tblPr>
        <w:tblStyle w:val="TableGrid"/>
        <w:tblW w:w="0" w:type="auto"/>
        <w:tblLook w:val="04A0" w:firstRow="1" w:lastRow="0" w:firstColumn="1" w:lastColumn="0" w:noHBand="0" w:noVBand="1"/>
      </w:tblPr>
      <w:tblGrid>
        <w:gridCol w:w="3005"/>
        <w:gridCol w:w="3005"/>
        <w:gridCol w:w="3006"/>
      </w:tblGrid>
      <w:tr w:rsidR="00CE1F21" w:rsidRPr="00A07F3B" w:rsidTr="00B6386A">
        <w:tc>
          <w:tcPr>
            <w:tcW w:w="3005"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Community Rating Stamp Duties (Contract Type)</w:t>
            </w:r>
          </w:p>
        </w:tc>
        <w:tc>
          <w:tcPr>
            <w:tcW w:w="3005" w:type="dxa"/>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Non-Advanced</w:t>
            </w:r>
          </w:p>
        </w:tc>
        <w:tc>
          <w:tcPr>
            <w:tcW w:w="3006" w:type="dxa"/>
          </w:tcPr>
          <w:p w:rsidR="00CE1F21" w:rsidRPr="00A07F3B" w:rsidRDefault="00CE1F21" w:rsidP="00B6386A">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Advanced</w:t>
            </w:r>
          </w:p>
        </w:tc>
      </w:tr>
      <w:tr w:rsidR="00CE1F21" w:rsidRPr="00A07F3B" w:rsidTr="00B6386A">
        <w:tc>
          <w:tcPr>
            <w:tcW w:w="3005"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Adult</w:t>
            </w:r>
          </w:p>
        </w:tc>
        <w:tc>
          <w:tcPr>
            <w:tcW w:w="3005" w:type="dxa"/>
          </w:tcPr>
          <w:p w:rsidR="00CE1F21" w:rsidRPr="00A07F3B" w:rsidRDefault="00CE1F21" w:rsidP="00B6386A">
            <w:pPr>
              <w:jc w:val="center"/>
              <w:rPr>
                <w:rFonts w:ascii="Times New Roman" w:hAnsi="Times New Roman" w:cs="Times New Roman"/>
              </w:rPr>
            </w:pPr>
            <w:r w:rsidRPr="00A07F3B">
              <w:rPr>
                <w:rFonts w:ascii="Times New Roman" w:hAnsi="Times New Roman" w:cs="Times New Roman"/>
                <w:color w:val="000000"/>
                <w:sz w:val="24"/>
                <w:szCs w:val="24"/>
              </w:rPr>
              <w:t>€</w:t>
            </w:r>
            <w:r w:rsidR="002012CB">
              <w:rPr>
                <w:rFonts w:ascii="Times New Roman" w:hAnsi="Times New Roman" w:cs="Times New Roman"/>
                <w:color w:val="000000"/>
                <w:sz w:val="24"/>
                <w:szCs w:val="24"/>
              </w:rPr>
              <w:t>177</w:t>
            </w:r>
          </w:p>
        </w:tc>
        <w:tc>
          <w:tcPr>
            <w:tcW w:w="3006" w:type="dxa"/>
          </w:tcPr>
          <w:p w:rsidR="00CE1F21" w:rsidRPr="00A07F3B" w:rsidRDefault="00CE1F21" w:rsidP="00B6386A">
            <w:pPr>
              <w:jc w:val="center"/>
              <w:rPr>
                <w:rFonts w:ascii="Times New Roman" w:hAnsi="Times New Roman" w:cs="Times New Roman"/>
              </w:rPr>
            </w:pPr>
            <w:r w:rsidRPr="00A07F3B">
              <w:rPr>
                <w:rFonts w:ascii="Times New Roman" w:hAnsi="Times New Roman" w:cs="Times New Roman"/>
                <w:color w:val="000000"/>
                <w:sz w:val="24"/>
                <w:szCs w:val="24"/>
              </w:rPr>
              <w:t>€</w:t>
            </w:r>
            <w:r w:rsidR="00D864E2">
              <w:rPr>
                <w:rFonts w:ascii="Times New Roman" w:hAnsi="Times New Roman" w:cs="Times New Roman"/>
                <w:color w:val="000000"/>
                <w:sz w:val="24"/>
                <w:szCs w:val="24"/>
              </w:rPr>
              <w:t>444</w:t>
            </w:r>
          </w:p>
        </w:tc>
      </w:tr>
      <w:tr w:rsidR="00CE1F21" w:rsidRPr="00A07F3B" w:rsidTr="00B6386A">
        <w:tc>
          <w:tcPr>
            <w:tcW w:w="3005" w:type="dxa"/>
          </w:tcPr>
          <w:p w:rsidR="00CE1F21" w:rsidRPr="00A07F3B" w:rsidRDefault="00CE1F21" w:rsidP="00B6386A">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Child</w:t>
            </w:r>
          </w:p>
        </w:tc>
        <w:tc>
          <w:tcPr>
            <w:tcW w:w="3005" w:type="dxa"/>
          </w:tcPr>
          <w:p w:rsidR="00CE1F21" w:rsidRPr="00A07F3B" w:rsidRDefault="00CE1F21" w:rsidP="00B6386A">
            <w:pPr>
              <w:jc w:val="center"/>
              <w:rPr>
                <w:rFonts w:ascii="Times New Roman" w:hAnsi="Times New Roman" w:cs="Times New Roman"/>
              </w:rPr>
            </w:pPr>
            <w:r w:rsidRPr="00A07F3B">
              <w:rPr>
                <w:rFonts w:ascii="Times New Roman" w:hAnsi="Times New Roman" w:cs="Times New Roman"/>
                <w:color w:val="000000"/>
                <w:sz w:val="24"/>
                <w:szCs w:val="24"/>
              </w:rPr>
              <w:t>€</w:t>
            </w:r>
            <w:r w:rsidR="00D864E2">
              <w:rPr>
                <w:rFonts w:ascii="Times New Roman" w:hAnsi="Times New Roman" w:cs="Times New Roman"/>
                <w:color w:val="000000"/>
                <w:sz w:val="24"/>
                <w:szCs w:val="24"/>
              </w:rPr>
              <w:t>59</w:t>
            </w:r>
          </w:p>
        </w:tc>
        <w:tc>
          <w:tcPr>
            <w:tcW w:w="3006" w:type="dxa"/>
          </w:tcPr>
          <w:p w:rsidR="00CE1F21" w:rsidRPr="00A07F3B" w:rsidRDefault="00CE1F21" w:rsidP="00B6386A">
            <w:pPr>
              <w:jc w:val="center"/>
              <w:rPr>
                <w:rFonts w:ascii="Times New Roman" w:hAnsi="Times New Roman" w:cs="Times New Roman"/>
              </w:rPr>
            </w:pPr>
            <w:r w:rsidRPr="00A07F3B">
              <w:rPr>
                <w:rFonts w:ascii="Times New Roman" w:hAnsi="Times New Roman" w:cs="Times New Roman"/>
                <w:color w:val="000000"/>
                <w:sz w:val="24"/>
                <w:szCs w:val="24"/>
              </w:rPr>
              <w:t>€1</w:t>
            </w:r>
            <w:r w:rsidR="00D864E2">
              <w:rPr>
                <w:rFonts w:ascii="Times New Roman" w:hAnsi="Times New Roman" w:cs="Times New Roman"/>
                <w:color w:val="000000"/>
                <w:sz w:val="24"/>
                <w:szCs w:val="24"/>
              </w:rPr>
              <w:t>48</w:t>
            </w:r>
          </w:p>
        </w:tc>
      </w:tr>
    </w:tbl>
    <w:p w:rsidR="00CE1F21" w:rsidRPr="00A07F3B" w:rsidRDefault="00CE1F21" w:rsidP="00CE1F21">
      <w:pPr>
        <w:autoSpaceDE w:val="0"/>
        <w:autoSpaceDN w:val="0"/>
        <w:adjustRightInd w:val="0"/>
        <w:spacing w:after="120"/>
        <w:rPr>
          <w:rFonts w:ascii="Times New Roman" w:hAnsi="Times New Roman" w:cs="Times New Roman"/>
          <w:color w:val="000000"/>
          <w:sz w:val="24"/>
          <w:szCs w:val="24"/>
        </w:rPr>
      </w:pPr>
    </w:p>
    <w:p w:rsidR="00CE1F21" w:rsidRDefault="00CE1F21" w:rsidP="00CE1F21">
      <w:pPr>
        <w:autoSpaceDE w:val="0"/>
        <w:autoSpaceDN w:val="0"/>
        <w:adjustRightInd w:val="0"/>
        <w:spacing w:after="120"/>
        <w:rPr>
          <w:rFonts w:cs="DIN-Regular"/>
          <w:color w:val="000000"/>
          <w:sz w:val="24"/>
          <w:szCs w:val="24"/>
        </w:rPr>
      </w:pPr>
    </w:p>
    <w:p w:rsidR="00CE1F21" w:rsidRPr="00A07F3B" w:rsidRDefault="00CE1F21" w:rsidP="00E3652A">
      <w:pPr>
        <w:autoSpaceDE w:val="0"/>
        <w:autoSpaceDN w:val="0"/>
        <w:adjustRightInd w:val="0"/>
        <w:spacing w:after="120"/>
        <w:rPr>
          <w:rFonts w:ascii="Times New Roman" w:hAnsi="Times New Roman" w:cs="Times New Roman"/>
          <w:color w:val="000000"/>
          <w:sz w:val="24"/>
          <w:szCs w:val="24"/>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D864E2" w:rsidRDefault="00D864E2" w:rsidP="00D864E2">
      <w:pPr>
        <w:rPr>
          <w:rFonts w:ascii="Times New Roman" w:hAnsi="Times New Roman" w:cs="Times New Roman"/>
          <w:b/>
          <w:color w:val="000000"/>
          <w:sz w:val="24"/>
          <w:szCs w:val="24"/>
        </w:rPr>
      </w:pPr>
      <w:r w:rsidRPr="00A07F3B">
        <w:rPr>
          <w:rFonts w:ascii="Times New Roman" w:hAnsi="Times New Roman" w:cs="Times New Roman"/>
          <w:b/>
          <w:color w:val="000000"/>
          <w:sz w:val="24"/>
          <w:szCs w:val="24"/>
        </w:rPr>
        <w:t xml:space="preserve">Rates Applying for Contracts Commencing/Renewing from </w:t>
      </w:r>
      <w:r>
        <w:rPr>
          <w:rFonts w:ascii="Times New Roman" w:hAnsi="Times New Roman" w:cs="Times New Roman"/>
          <w:b/>
          <w:color w:val="000000"/>
          <w:sz w:val="24"/>
          <w:szCs w:val="24"/>
        </w:rPr>
        <w:t>1 April 201</w:t>
      </w:r>
      <w:r>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to </w:t>
      </w:r>
    </w:p>
    <w:p w:rsidR="00D864E2" w:rsidRPr="00A07F3B" w:rsidRDefault="00D864E2" w:rsidP="00D864E2">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31 March 2020</w:t>
      </w:r>
    </w:p>
    <w:p w:rsidR="00D864E2" w:rsidRPr="00A07F3B" w:rsidRDefault="00D864E2" w:rsidP="00D864E2">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Risk Equalisation Premium Credits</w:t>
      </w:r>
    </w:p>
    <w:tbl>
      <w:tblPr>
        <w:tblStyle w:val="TableGrid"/>
        <w:tblW w:w="0" w:type="auto"/>
        <w:tblLook w:val="04A0" w:firstRow="1" w:lastRow="0" w:firstColumn="1" w:lastColumn="0" w:noHBand="0" w:noVBand="1"/>
      </w:tblPr>
      <w:tblGrid>
        <w:gridCol w:w="1803"/>
        <w:gridCol w:w="1803"/>
        <w:gridCol w:w="1803"/>
        <w:gridCol w:w="1803"/>
        <w:gridCol w:w="1804"/>
      </w:tblGrid>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Contract Type</w:t>
            </w:r>
          </w:p>
        </w:tc>
        <w:tc>
          <w:tcPr>
            <w:tcW w:w="3606" w:type="dxa"/>
            <w:gridSpan w:val="2"/>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Non-Advanced</w:t>
            </w:r>
          </w:p>
        </w:tc>
        <w:tc>
          <w:tcPr>
            <w:tcW w:w="3607" w:type="dxa"/>
            <w:gridSpan w:val="2"/>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Advanced</w:t>
            </w:r>
          </w:p>
        </w:tc>
      </w:tr>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p>
        </w:tc>
        <w:tc>
          <w:tcPr>
            <w:tcW w:w="1803" w:type="dxa"/>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Male</w:t>
            </w:r>
          </w:p>
        </w:tc>
        <w:tc>
          <w:tcPr>
            <w:tcW w:w="1803" w:type="dxa"/>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Female</w:t>
            </w:r>
          </w:p>
        </w:tc>
        <w:tc>
          <w:tcPr>
            <w:tcW w:w="1803" w:type="dxa"/>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Male</w:t>
            </w:r>
          </w:p>
        </w:tc>
        <w:tc>
          <w:tcPr>
            <w:tcW w:w="1804" w:type="dxa"/>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Female</w:t>
            </w:r>
          </w:p>
        </w:tc>
      </w:tr>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65-69</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400</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275</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1,050</w:t>
            </w:r>
          </w:p>
        </w:tc>
        <w:tc>
          <w:tcPr>
            <w:tcW w:w="1804"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700</w:t>
            </w:r>
          </w:p>
        </w:tc>
      </w:tr>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70-74</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650</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475</w:t>
            </w:r>
          </w:p>
        </w:tc>
        <w:tc>
          <w:tcPr>
            <w:tcW w:w="1803" w:type="dxa"/>
          </w:tcPr>
          <w:p w:rsidR="00D864E2" w:rsidRPr="00A07F3B" w:rsidRDefault="00D864E2" w:rsidP="00BC2251">
            <w:pPr>
              <w:jc w:val="center"/>
              <w:rPr>
                <w:rFonts w:ascii="Times New Roman" w:hAnsi="Times New Roman" w:cs="Times New Roman"/>
              </w:rPr>
            </w:pPr>
            <w:r w:rsidRPr="00A07F3B">
              <w:rPr>
                <w:rFonts w:ascii="Times New Roman" w:hAnsi="Times New Roman" w:cs="Times New Roman"/>
                <w:color w:val="000000"/>
                <w:sz w:val="24"/>
                <w:szCs w:val="24"/>
              </w:rPr>
              <w:t>€</w:t>
            </w:r>
            <w:r>
              <w:rPr>
                <w:rFonts w:ascii="Times New Roman" w:hAnsi="Times New Roman" w:cs="Times New Roman"/>
                <w:color w:val="000000"/>
                <w:sz w:val="24"/>
                <w:szCs w:val="24"/>
              </w:rPr>
              <w:t>1,775</w:t>
            </w:r>
          </w:p>
        </w:tc>
        <w:tc>
          <w:tcPr>
            <w:tcW w:w="1804"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1,225</w:t>
            </w:r>
          </w:p>
        </w:tc>
      </w:tr>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75-79</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925</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725</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2,775</w:t>
            </w:r>
          </w:p>
        </w:tc>
        <w:tc>
          <w:tcPr>
            <w:tcW w:w="1804"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1,900</w:t>
            </w:r>
          </w:p>
        </w:tc>
      </w:tr>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80-84</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1,050</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925</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3,300</w:t>
            </w:r>
          </w:p>
        </w:tc>
        <w:tc>
          <w:tcPr>
            <w:tcW w:w="1804"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2,475</w:t>
            </w:r>
          </w:p>
        </w:tc>
      </w:tr>
      <w:tr w:rsidR="00D864E2" w:rsidRPr="00A07F3B" w:rsidTr="00BC2251">
        <w:tc>
          <w:tcPr>
            <w:tcW w:w="1803"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85+</w:t>
            </w:r>
          </w:p>
        </w:tc>
        <w:tc>
          <w:tcPr>
            <w:tcW w:w="1803" w:type="dxa"/>
          </w:tcPr>
          <w:p w:rsidR="00D864E2" w:rsidRPr="00D864E2" w:rsidRDefault="00D864E2" w:rsidP="00D864E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1,350</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1,075</w:t>
            </w:r>
          </w:p>
        </w:tc>
        <w:tc>
          <w:tcPr>
            <w:tcW w:w="1803"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4,600</w:t>
            </w:r>
          </w:p>
        </w:tc>
        <w:tc>
          <w:tcPr>
            <w:tcW w:w="1804" w:type="dxa"/>
          </w:tcPr>
          <w:p w:rsidR="00D864E2" w:rsidRPr="00A07F3B" w:rsidRDefault="00D864E2" w:rsidP="00BC2251">
            <w:pPr>
              <w:jc w:val="center"/>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color w:val="000000"/>
                <w:sz w:val="24"/>
                <w:szCs w:val="24"/>
              </w:rPr>
              <w:t>3,100</w:t>
            </w:r>
          </w:p>
        </w:tc>
      </w:tr>
    </w:tbl>
    <w:p w:rsidR="00D864E2" w:rsidRPr="00A07F3B" w:rsidRDefault="00D864E2" w:rsidP="00D864E2">
      <w:pPr>
        <w:autoSpaceDE w:val="0"/>
        <w:autoSpaceDN w:val="0"/>
        <w:adjustRightInd w:val="0"/>
        <w:spacing w:after="120"/>
        <w:rPr>
          <w:rFonts w:ascii="Times New Roman" w:hAnsi="Times New Roman" w:cs="Times New Roman"/>
          <w:color w:val="000000"/>
          <w:sz w:val="24"/>
          <w:szCs w:val="24"/>
        </w:rPr>
      </w:pPr>
    </w:p>
    <w:p w:rsidR="00D864E2" w:rsidRPr="00A07F3B" w:rsidRDefault="00D864E2" w:rsidP="00D864E2">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A hospital bed utilisation credit of €</w:t>
      </w:r>
      <w:r>
        <w:rPr>
          <w:rFonts w:ascii="Times New Roman" w:hAnsi="Times New Roman" w:cs="Times New Roman"/>
          <w:color w:val="000000"/>
          <w:sz w:val="24"/>
          <w:szCs w:val="24"/>
        </w:rPr>
        <w:t>100</w:t>
      </w:r>
      <w:r w:rsidRPr="00A07F3B">
        <w:rPr>
          <w:rFonts w:ascii="Times New Roman" w:hAnsi="Times New Roman" w:cs="Times New Roman"/>
          <w:color w:val="000000"/>
          <w:sz w:val="24"/>
          <w:szCs w:val="24"/>
        </w:rPr>
        <w:t xml:space="preserve"> is paid in respect of each qualifying night spent in hospital by an insured person.</w:t>
      </w:r>
      <w:r>
        <w:rPr>
          <w:rFonts w:ascii="Times New Roman" w:hAnsi="Times New Roman" w:cs="Times New Roman"/>
          <w:color w:val="000000"/>
          <w:sz w:val="24"/>
          <w:szCs w:val="24"/>
        </w:rPr>
        <w:t xml:space="preserve"> </w:t>
      </w:r>
      <w:r w:rsidRPr="00A07F3B">
        <w:rPr>
          <w:rFonts w:ascii="Times New Roman" w:hAnsi="Times New Roman" w:cs="Times New Roman"/>
          <w:color w:val="000000"/>
          <w:sz w:val="24"/>
          <w:szCs w:val="24"/>
        </w:rPr>
        <w:t>A hospital utilisation credit of €</w:t>
      </w:r>
      <w:r>
        <w:rPr>
          <w:rFonts w:ascii="Times New Roman" w:hAnsi="Times New Roman" w:cs="Times New Roman"/>
          <w:color w:val="000000"/>
          <w:sz w:val="24"/>
          <w:szCs w:val="24"/>
        </w:rPr>
        <w:t>5</w:t>
      </w:r>
      <w:r w:rsidRPr="00A07F3B">
        <w:rPr>
          <w:rFonts w:ascii="Times New Roman" w:hAnsi="Times New Roman" w:cs="Times New Roman"/>
          <w:color w:val="000000"/>
          <w:sz w:val="24"/>
          <w:szCs w:val="24"/>
        </w:rPr>
        <w:t>0 is paid in respect of each qualifying day admission to a hospital by an insured person.</w:t>
      </w:r>
    </w:p>
    <w:p w:rsidR="00D864E2" w:rsidRPr="00A07F3B" w:rsidRDefault="00D864E2" w:rsidP="00D864E2">
      <w:pPr>
        <w:autoSpaceDE w:val="0"/>
        <w:autoSpaceDN w:val="0"/>
        <w:adjustRightInd w:val="0"/>
        <w:spacing w:after="120"/>
        <w:rPr>
          <w:rFonts w:ascii="Times New Roman" w:hAnsi="Times New Roman" w:cs="Times New Roman"/>
          <w:color w:val="000000"/>
          <w:sz w:val="24"/>
          <w:szCs w:val="24"/>
        </w:rPr>
      </w:pPr>
    </w:p>
    <w:p w:rsidR="00D864E2" w:rsidRPr="00A07F3B" w:rsidRDefault="00D864E2" w:rsidP="00D864E2">
      <w:pPr>
        <w:autoSpaceDE w:val="0"/>
        <w:autoSpaceDN w:val="0"/>
        <w:adjustRightInd w:val="0"/>
        <w:spacing w:after="120"/>
        <w:rPr>
          <w:rFonts w:ascii="Times New Roman" w:hAnsi="Times New Roman" w:cs="Times New Roman"/>
          <w:color w:val="000000"/>
          <w:sz w:val="24"/>
          <w:szCs w:val="24"/>
        </w:rPr>
      </w:pPr>
      <w:r w:rsidRPr="00A07F3B">
        <w:rPr>
          <w:rFonts w:ascii="Times New Roman" w:hAnsi="Times New Roman" w:cs="Times New Roman"/>
          <w:color w:val="000000"/>
          <w:sz w:val="24"/>
          <w:szCs w:val="24"/>
        </w:rPr>
        <w:t>Community Rating Stamp Duties</w:t>
      </w:r>
    </w:p>
    <w:tbl>
      <w:tblPr>
        <w:tblStyle w:val="TableGrid"/>
        <w:tblW w:w="0" w:type="auto"/>
        <w:tblLook w:val="04A0" w:firstRow="1" w:lastRow="0" w:firstColumn="1" w:lastColumn="0" w:noHBand="0" w:noVBand="1"/>
      </w:tblPr>
      <w:tblGrid>
        <w:gridCol w:w="3005"/>
        <w:gridCol w:w="3005"/>
        <w:gridCol w:w="3006"/>
      </w:tblGrid>
      <w:tr w:rsidR="00D864E2" w:rsidRPr="00A07F3B" w:rsidTr="00BC2251">
        <w:tc>
          <w:tcPr>
            <w:tcW w:w="3005"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Community Rating Stamp Duties (Contract Type)</w:t>
            </w:r>
          </w:p>
        </w:tc>
        <w:tc>
          <w:tcPr>
            <w:tcW w:w="3005" w:type="dxa"/>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Non-Advanced</w:t>
            </w:r>
          </w:p>
        </w:tc>
        <w:tc>
          <w:tcPr>
            <w:tcW w:w="3006" w:type="dxa"/>
          </w:tcPr>
          <w:p w:rsidR="00D864E2" w:rsidRPr="00A07F3B" w:rsidRDefault="00D864E2" w:rsidP="00BC2251">
            <w:pPr>
              <w:autoSpaceDE w:val="0"/>
              <w:autoSpaceDN w:val="0"/>
              <w:adjustRightInd w:val="0"/>
              <w:spacing w:after="120" w:line="276" w:lineRule="auto"/>
              <w:jc w:val="center"/>
              <w:rPr>
                <w:rFonts w:ascii="Times New Roman" w:hAnsi="Times New Roman" w:cs="Times New Roman"/>
                <w:color w:val="000000"/>
                <w:sz w:val="24"/>
                <w:szCs w:val="24"/>
              </w:rPr>
            </w:pPr>
            <w:r w:rsidRPr="00A07F3B">
              <w:rPr>
                <w:rFonts w:ascii="Times New Roman" w:hAnsi="Times New Roman" w:cs="Times New Roman"/>
                <w:color w:val="000000"/>
                <w:sz w:val="24"/>
                <w:szCs w:val="24"/>
              </w:rPr>
              <w:t>Advanced</w:t>
            </w:r>
          </w:p>
        </w:tc>
      </w:tr>
      <w:tr w:rsidR="00D864E2" w:rsidRPr="00A07F3B" w:rsidTr="00BC2251">
        <w:tc>
          <w:tcPr>
            <w:tcW w:w="3005"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Adult</w:t>
            </w:r>
          </w:p>
        </w:tc>
        <w:tc>
          <w:tcPr>
            <w:tcW w:w="3005" w:type="dxa"/>
          </w:tcPr>
          <w:p w:rsidR="00D864E2" w:rsidRPr="00A07F3B" w:rsidRDefault="00D864E2" w:rsidP="00BC2251">
            <w:pPr>
              <w:jc w:val="center"/>
              <w:rPr>
                <w:rFonts w:ascii="Times New Roman" w:hAnsi="Times New Roman" w:cs="Times New Roman"/>
              </w:rPr>
            </w:pPr>
            <w:r w:rsidRPr="00A07F3B">
              <w:rPr>
                <w:rFonts w:ascii="Times New Roman" w:hAnsi="Times New Roman" w:cs="Times New Roman"/>
                <w:color w:val="000000"/>
                <w:sz w:val="24"/>
                <w:szCs w:val="24"/>
              </w:rPr>
              <w:t>€</w:t>
            </w:r>
            <w:r>
              <w:rPr>
                <w:rFonts w:ascii="Times New Roman" w:hAnsi="Times New Roman" w:cs="Times New Roman"/>
                <w:color w:val="000000"/>
                <w:sz w:val="24"/>
                <w:szCs w:val="24"/>
              </w:rPr>
              <w:t>177</w:t>
            </w:r>
          </w:p>
        </w:tc>
        <w:tc>
          <w:tcPr>
            <w:tcW w:w="3006" w:type="dxa"/>
          </w:tcPr>
          <w:p w:rsidR="00D864E2" w:rsidRPr="00A07F3B" w:rsidRDefault="00D864E2" w:rsidP="00BC2251">
            <w:pPr>
              <w:jc w:val="center"/>
              <w:rPr>
                <w:rFonts w:ascii="Times New Roman" w:hAnsi="Times New Roman" w:cs="Times New Roman"/>
              </w:rPr>
            </w:pPr>
            <w:r w:rsidRPr="00A07F3B">
              <w:rPr>
                <w:rFonts w:ascii="Times New Roman" w:hAnsi="Times New Roman" w:cs="Times New Roman"/>
                <w:color w:val="000000"/>
                <w:sz w:val="24"/>
                <w:szCs w:val="24"/>
              </w:rPr>
              <w:t>€</w:t>
            </w:r>
            <w:r>
              <w:rPr>
                <w:rFonts w:ascii="Times New Roman" w:hAnsi="Times New Roman" w:cs="Times New Roman"/>
                <w:color w:val="000000"/>
                <w:sz w:val="24"/>
                <w:szCs w:val="24"/>
              </w:rPr>
              <w:t>444</w:t>
            </w:r>
            <w:bookmarkStart w:id="0" w:name="_GoBack"/>
            <w:bookmarkEnd w:id="0"/>
          </w:p>
        </w:tc>
      </w:tr>
      <w:tr w:rsidR="00D864E2" w:rsidRPr="00A07F3B" w:rsidTr="00BC2251">
        <w:tc>
          <w:tcPr>
            <w:tcW w:w="3005" w:type="dxa"/>
          </w:tcPr>
          <w:p w:rsidR="00D864E2" w:rsidRPr="00A07F3B" w:rsidRDefault="00D864E2" w:rsidP="00BC2251">
            <w:pPr>
              <w:autoSpaceDE w:val="0"/>
              <w:autoSpaceDN w:val="0"/>
              <w:adjustRightInd w:val="0"/>
              <w:spacing w:after="120" w:line="276" w:lineRule="auto"/>
              <w:rPr>
                <w:rFonts w:ascii="Times New Roman" w:hAnsi="Times New Roman" w:cs="Times New Roman"/>
                <w:color w:val="000000"/>
                <w:sz w:val="24"/>
                <w:szCs w:val="24"/>
              </w:rPr>
            </w:pPr>
            <w:r w:rsidRPr="00A07F3B">
              <w:rPr>
                <w:rFonts w:ascii="Times New Roman" w:hAnsi="Times New Roman" w:cs="Times New Roman"/>
                <w:color w:val="000000"/>
                <w:sz w:val="24"/>
                <w:szCs w:val="24"/>
              </w:rPr>
              <w:t>Child</w:t>
            </w:r>
          </w:p>
        </w:tc>
        <w:tc>
          <w:tcPr>
            <w:tcW w:w="3005" w:type="dxa"/>
          </w:tcPr>
          <w:p w:rsidR="00D864E2" w:rsidRPr="00A07F3B" w:rsidRDefault="00D864E2" w:rsidP="00BC2251">
            <w:pPr>
              <w:jc w:val="center"/>
              <w:rPr>
                <w:rFonts w:ascii="Times New Roman" w:hAnsi="Times New Roman" w:cs="Times New Roman"/>
              </w:rPr>
            </w:pPr>
            <w:r w:rsidRPr="00A07F3B">
              <w:rPr>
                <w:rFonts w:ascii="Times New Roman" w:hAnsi="Times New Roman" w:cs="Times New Roman"/>
                <w:color w:val="000000"/>
                <w:sz w:val="24"/>
                <w:szCs w:val="24"/>
              </w:rPr>
              <w:t>€</w:t>
            </w:r>
            <w:r>
              <w:rPr>
                <w:rFonts w:ascii="Times New Roman" w:hAnsi="Times New Roman" w:cs="Times New Roman"/>
                <w:color w:val="000000"/>
                <w:sz w:val="24"/>
                <w:szCs w:val="24"/>
              </w:rPr>
              <w:t>59</w:t>
            </w:r>
          </w:p>
        </w:tc>
        <w:tc>
          <w:tcPr>
            <w:tcW w:w="3006" w:type="dxa"/>
          </w:tcPr>
          <w:p w:rsidR="00D864E2" w:rsidRPr="00A07F3B" w:rsidRDefault="00D864E2" w:rsidP="00BC2251">
            <w:pPr>
              <w:jc w:val="center"/>
              <w:rPr>
                <w:rFonts w:ascii="Times New Roman" w:hAnsi="Times New Roman" w:cs="Times New Roman"/>
              </w:rPr>
            </w:pPr>
            <w:r w:rsidRPr="00A07F3B">
              <w:rPr>
                <w:rFonts w:ascii="Times New Roman" w:hAnsi="Times New Roman" w:cs="Times New Roman"/>
                <w:color w:val="000000"/>
                <w:sz w:val="24"/>
                <w:szCs w:val="24"/>
              </w:rPr>
              <w:t>€1</w:t>
            </w:r>
            <w:r>
              <w:rPr>
                <w:rFonts w:ascii="Times New Roman" w:hAnsi="Times New Roman" w:cs="Times New Roman"/>
                <w:color w:val="000000"/>
                <w:sz w:val="24"/>
                <w:szCs w:val="24"/>
              </w:rPr>
              <w:t>48</w:t>
            </w:r>
          </w:p>
        </w:tc>
      </w:tr>
    </w:tbl>
    <w:p w:rsidR="00D864E2" w:rsidRPr="00A07F3B" w:rsidRDefault="00D864E2" w:rsidP="00D864E2">
      <w:pPr>
        <w:autoSpaceDE w:val="0"/>
        <w:autoSpaceDN w:val="0"/>
        <w:adjustRightInd w:val="0"/>
        <w:spacing w:after="120"/>
        <w:rPr>
          <w:rFonts w:ascii="Times New Roman" w:hAnsi="Times New Roman" w:cs="Times New Roman"/>
          <w:color w:val="000000"/>
          <w:sz w:val="24"/>
          <w:szCs w:val="24"/>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E3652A" w:rsidRDefault="00E3652A"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732196" w:rsidRPr="00732196" w:rsidRDefault="00732196" w:rsidP="00732196">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732196">
        <w:rPr>
          <w:rFonts w:ascii="Times New Roman" w:eastAsia="Times New Roman" w:hAnsi="Times New Roman" w:cs="Times New Roman"/>
          <w:b/>
          <w:bCs/>
          <w:sz w:val="36"/>
          <w:szCs w:val="36"/>
          <w:lang w:eastAsia="en-IE"/>
        </w:rPr>
        <w:lastRenderedPageBreak/>
        <w:t>Links</w:t>
      </w:r>
    </w:p>
    <w:p w:rsidR="00732196" w:rsidRPr="00732196" w:rsidRDefault="00D864E2" w:rsidP="00732196">
      <w:pPr>
        <w:spacing w:before="100" w:beforeAutospacing="1" w:after="100" w:afterAutospacing="1" w:line="240" w:lineRule="auto"/>
        <w:rPr>
          <w:rFonts w:ascii="Times New Roman" w:eastAsia="Times New Roman" w:hAnsi="Times New Roman" w:cs="Times New Roman"/>
          <w:sz w:val="24"/>
          <w:szCs w:val="24"/>
          <w:lang w:eastAsia="en-IE"/>
        </w:rPr>
      </w:pPr>
      <w:hyperlink r:id="rId7" w:tgtFrame="_blank" w:history="1">
        <w:r w:rsidR="00732196" w:rsidRPr="00732196">
          <w:rPr>
            <w:rFonts w:ascii="Times New Roman" w:eastAsia="Times New Roman" w:hAnsi="Times New Roman" w:cs="Times New Roman"/>
            <w:color w:val="0000FF"/>
            <w:sz w:val="24"/>
            <w:szCs w:val="24"/>
            <w:u w:val="single"/>
            <w:lang w:eastAsia="en-IE"/>
          </w:rPr>
          <w:t>Department of Health and Children Press Release 19 November 2008</w:t>
        </w:r>
      </w:hyperlink>
      <w:r w:rsidR="00732196" w:rsidRPr="00732196">
        <w:rPr>
          <w:rFonts w:ascii="Times New Roman" w:eastAsia="Times New Roman" w:hAnsi="Times New Roman" w:cs="Times New Roman"/>
          <w:sz w:val="24"/>
          <w:szCs w:val="24"/>
          <w:lang w:eastAsia="en-IE"/>
        </w:rPr>
        <w:t xml:space="preserve"> </w:t>
      </w:r>
      <w:r w:rsidR="00732196" w:rsidRPr="00732196">
        <w:rPr>
          <w:rFonts w:ascii="Times New Roman" w:eastAsia="Times New Roman" w:hAnsi="Times New Roman" w:cs="Times New Roman"/>
          <w:sz w:val="24"/>
          <w:szCs w:val="24"/>
          <w:lang w:eastAsia="en-IE"/>
        </w:rPr>
        <w:br/>
      </w:r>
      <w:hyperlink r:id="rId8" w:anchor="sec26" w:tgtFrame="_blank" w:history="1">
        <w:r w:rsidR="00732196" w:rsidRPr="00732196">
          <w:rPr>
            <w:rFonts w:ascii="Times New Roman" w:eastAsia="Times New Roman" w:hAnsi="Times New Roman" w:cs="Times New Roman"/>
            <w:color w:val="0000FF"/>
            <w:sz w:val="24"/>
            <w:szCs w:val="24"/>
            <w:u w:val="single"/>
            <w:lang w:eastAsia="en-IE"/>
          </w:rPr>
          <w:t>Health Insurance (Miscellaneous Provisions) Act, 2009</w:t>
        </w:r>
      </w:hyperlink>
      <w:r w:rsidR="00732196" w:rsidRPr="00732196">
        <w:rPr>
          <w:rFonts w:ascii="Times New Roman" w:eastAsia="Times New Roman" w:hAnsi="Times New Roman" w:cs="Times New Roman"/>
          <w:sz w:val="24"/>
          <w:szCs w:val="24"/>
          <w:lang w:eastAsia="en-IE"/>
        </w:rPr>
        <w:t xml:space="preserve"> </w:t>
      </w:r>
      <w:r w:rsidR="00732196" w:rsidRPr="00732196">
        <w:rPr>
          <w:rFonts w:ascii="Times New Roman" w:eastAsia="Times New Roman" w:hAnsi="Times New Roman" w:cs="Times New Roman"/>
          <w:sz w:val="24"/>
          <w:szCs w:val="24"/>
          <w:lang w:eastAsia="en-IE"/>
        </w:rPr>
        <w:br/>
      </w:r>
      <w:hyperlink r:id="rId9" w:tgtFrame="_blank" w:history="1">
        <w:r w:rsidR="00732196" w:rsidRPr="00732196">
          <w:rPr>
            <w:rFonts w:ascii="Times New Roman" w:eastAsia="Times New Roman" w:hAnsi="Times New Roman" w:cs="Times New Roman"/>
            <w:color w:val="0000FF"/>
            <w:sz w:val="24"/>
            <w:szCs w:val="24"/>
            <w:u w:val="single"/>
            <w:lang w:eastAsia="en-IE"/>
          </w:rPr>
          <w:t>Government announcement of 27 May 2010</w:t>
        </w:r>
      </w:hyperlink>
      <w:r w:rsidR="00732196" w:rsidRPr="00732196">
        <w:rPr>
          <w:rFonts w:ascii="Times New Roman" w:eastAsia="Times New Roman" w:hAnsi="Times New Roman" w:cs="Times New Roman"/>
          <w:sz w:val="24"/>
          <w:szCs w:val="24"/>
          <w:lang w:eastAsia="en-IE"/>
        </w:rPr>
        <w:t xml:space="preserve"> </w:t>
      </w:r>
      <w:r w:rsidR="00732196" w:rsidRPr="00732196">
        <w:rPr>
          <w:rFonts w:ascii="Times New Roman" w:eastAsia="Times New Roman" w:hAnsi="Times New Roman" w:cs="Times New Roman"/>
          <w:sz w:val="24"/>
          <w:szCs w:val="24"/>
          <w:lang w:eastAsia="en-IE"/>
        </w:rPr>
        <w:br/>
      </w:r>
      <w:hyperlink r:id="rId10" w:history="1">
        <w:r w:rsidR="00732196" w:rsidRPr="00732196">
          <w:rPr>
            <w:rFonts w:ascii="Times New Roman" w:eastAsia="Times New Roman" w:hAnsi="Times New Roman" w:cs="Times New Roman"/>
            <w:color w:val="0000FF"/>
            <w:sz w:val="24"/>
            <w:szCs w:val="24"/>
            <w:u w:val="single"/>
            <w:lang w:eastAsia="en-IE"/>
          </w:rPr>
          <w:t xml:space="preserve">HIA publishes consultation paper on risk equalisation in the Irish private health insurance market 21.06.10 </w:t>
        </w:r>
        <w:r w:rsidR="00732196" w:rsidRPr="00732196">
          <w:rPr>
            <w:rFonts w:ascii="Times New Roman" w:eastAsia="Times New Roman" w:hAnsi="Times New Roman" w:cs="Times New Roman"/>
            <w:color w:val="0000FF"/>
            <w:sz w:val="24"/>
            <w:szCs w:val="24"/>
            <w:u w:val="single"/>
            <w:lang w:eastAsia="en-IE"/>
          </w:rPr>
          <w:br/>
        </w:r>
      </w:hyperlink>
      <w:hyperlink r:id="rId11" w:anchor="interimscheme" w:tgtFrame="_blank" w:history="1">
        <w:r w:rsidR="00732196" w:rsidRPr="00732196">
          <w:rPr>
            <w:rFonts w:ascii="Times New Roman" w:eastAsia="Times New Roman" w:hAnsi="Times New Roman" w:cs="Times New Roman"/>
            <w:color w:val="0000FF"/>
            <w:sz w:val="24"/>
            <w:szCs w:val="24"/>
            <w:u w:val="single"/>
            <w:lang w:eastAsia="en-IE"/>
          </w:rPr>
          <w:t xml:space="preserve">Department of Health-Risk Equalisation and Interim Scheme </w:t>
        </w:r>
        <w:r w:rsidR="00732196" w:rsidRPr="00732196">
          <w:rPr>
            <w:rFonts w:ascii="Times New Roman" w:eastAsia="Times New Roman" w:hAnsi="Times New Roman" w:cs="Times New Roman"/>
            <w:color w:val="0000FF"/>
            <w:sz w:val="24"/>
            <w:szCs w:val="24"/>
            <w:u w:val="single"/>
            <w:lang w:eastAsia="en-IE"/>
          </w:rPr>
          <w:br/>
        </w:r>
      </w:hyperlink>
      <w:hyperlink r:id="rId12" w:tgtFrame="_blank" w:history="1">
        <w:r w:rsidR="00732196" w:rsidRPr="00732196">
          <w:rPr>
            <w:rFonts w:ascii="Times New Roman" w:eastAsia="Times New Roman" w:hAnsi="Times New Roman" w:cs="Times New Roman"/>
            <w:color w:val="0000FF"/>
            <w:sz w:val="24"/>
            <w:szCs w:val="24"/>
            <w:u w:val="single"/>
            <w:lang w:eastAsia="en-IE"/>
          </w:rPr>
          <w:t>Health Insurance (Amendment) Act, 2012</w:t>
        </w:r>
      </w:hyperlink>
      <w:r w:rsidR="00732196" w:rsidRPr="00732196">
        <w:rPr>
          <w:rFonts w:ascii="Times New Roman" w:eastAsia="Times New Roman" w:hAnsi="Times New Roman" w:cs="Times New Roman"/>
          <w:sz w:val="24"/>
          <w:szCs w:val="24"/>
          <w:lang w:eastAsia="en-IE"/>
        </w:rPr>
        <w:br/>
      </w:r>
      <w:hyperlink r:id="rId13" w:tgtFrame="_blank" w:history="1">
        <w:r w:rsidR="00732196" w:rsidRPr="00732196">
          <w:rPr>
            <w:rFonts w:ascii="Times New Roman" w:eastAsia="Times New Roman" w:hAnsi="Times New Roman" w:cs="Times New Roman"/>
            <w:color w:val="0000FF"/>
            <w:sz w:val="24"/>
            <w:szCs w:val="24"/>
            <w:u w:val="single"/>
            <w:lang w:eastAsia="en-IE"/>
          </w:rPr>
          <w:t>HIA Report to the Minister for Health on an evaluation and analysis of returns for 1 July 2011 to 30 June 2012 including advice</w:t>
        </w:r>
        <w:r w:rsidR="00732196" w:rsidRPr="00732196">
          <w:rPr>
            <w:rFonts w:ascii="Times New Roman" w:eastAsia="Times New Roman" w:hAnsi="Times New Roman" w:cs="Times New Roman"/>
            <w:color w:val="0000FF"/>
            <w:sz w:val="24"/>
            <w:szCs w:val="24"/>
            <w:u w:val="single"/>
            <w:lang w:eastAsia="en-IE"/>
          </w:rPr>
          <w:br/>
        </w:r>
      </w:hyperlink>
      <w:hyperlink r:id="rId14" w:tgtFrame="_blank" w:history="1">
        <w:r w:rsidR="00732196" w:rsidRPr="00732196">
          <w:rPr>
            <w:rFonts w:ascii="Times New Roman" w:eastAsia="Times New Roman" w:hAnsi="Times New Roman" w:cs="Times New Roman"/>
            <w:color w:val="0000FF"/>
            <w:sz w:val="24"/>
            <w:szCs w:val="24"/>
            <w:u w:val="single"/>
            <w:lang w:eastAsia="en-IE"/>
          </w:rPr>
          <w:t>December 2010 HIA Report to the Minister for Health and Children on Risk Equalisation in the Irish Private Health Insurance Market</w:t>
        </w:r>
      </w:hyperlink>
    </w:p>
    <w:p w:rsidR="00471179" w:rsidRDefault="00471179"/>
    <w:sectPr w:rsidR="0047117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4F" w:rsidRDefault="005F4C4F" w:rsidP="005F4C4F">
      <w:pPr>
        <w:spacing w:line="240" w:lineRule="auto"/>
      </w:pPr>
      <w:r>
        <w:separator/>
      </w:r>
    </w:p>
  </w:endnote>
  <w:endnote w:type="continuationSeparator" w:id="0">
    <w:p w:rsidR="005F4C4F" w:rsidRDefault="005F4C4F" w:rsidP="005F4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886505"/>
      <w:docPartObj>
        <w:docPartGallery w:val="Page Numbers (Bottom of Page)"/>
        <w:docPartUnique/>
      </w:docPartObj>
    </w:sdtPr>
    <w:sdtEndPr>
      <w:rPr>
        <w:noProof/>
      </w:rPr>
    </w:sdtEndPr>
    <w:sdtContent>
      <w:p w:rsidR="005F4C4F" w:rsidRDefault="005F4C4F">
        <w:pPr>
          <w:pStyle w:val="Footer"/>
          <w:jc w:val="center"/>
        </w:pPr>
        <w:r>
          <w:fldChar w:fldCharType="begin"/>
        </w:r>
        <w:r>
          <w:instrText xml:space="preserve"> PAGE   \* MERGEFORMAT </w:instrText>
        </w:r>
        <w:r>
          <w:fldChar w:fldCharType="separate"/>
        </w:r>
        <w:r w:rsidR="002653D0">
          <w:rPr>
            <w:noProof/>
          </w:rPr>
          <w:t>1</w:t>
        </w:r>
        <w:r>
          <w:rPr>
            <w:noProof/>
          </w:rPr>
          <w:fldChar w:fldCharType="end"/>
        </w:r>
      </w:p>
    </w:sdtContent>
  </w:sdt>
  <w:p w:rsidR="005F4C4F" w:rsidRDefault="005F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4F" w:rsidRDefault="005F4C4F" w:rsidP="005F4C4F">
      <w:pPr>
        <w:spacing w:line="240" w:lineRule="auto"/>
      </w:pPr>
      <w:r>
        <w:separator/>
      </w:r>
    </w:p>
  </w:footnote>
  <w:footnote w:type="continuationSeparator" w:id="0">
    <w:p w:rsidR="005F4C4F" w:rsidRDefault="005F4C4F" w:rsidP="005F4C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196"/>
    <w:rsid w:val="000C7A01"/>
    <w:rsid w:val="001F7326"/>
    <w:rsid w:val="002012CB"/>
    <w:rsid w:val="00246800"/>
    <w:rsid w:val="00250EA2"/>
    <w:rsid w:val="002653D0"/>
    <w:rsid w:val="002938E7"/>
    <w:rsid w:val="00305A68"/>
    <w:rsid w:val="00471179"/>
    <w:rsid w:val="005B6DD2"/>
    <w:rsid w:val="005C13A2"/>
    <w:rsid w:val="005F4C4F"/>
    <w:rsid w:val="00607FC3"/>
    <w:rsid w:val="00732196"/>
    <w:rsid w:val="007450B5"/>
    <w:rsid w:val="00897741"/>
    <w:rsid w:val="00931E3C"/>
    <w:rsid w:val="009B193D"/>
    <w:rsid w:val="00AC4971"/>
    <w:rsid w:val="00AE6280"/>
    <w:rsid w:val="00B015E7"/>
    <w:rsid w:val="00C07AF7"/>
    <w:rsid w:val="00CE1F21"/>
    <w:rsid w:val="00D3127F"/>
    <w:rsid w:val="00D864E2"/>
    <w:rsid w:val="00DD51F1"/>
    <w:rsid w:val="00E3652A"/>
    <w:rsid w:val="00F44C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728C"/>
  <w15:docId w15:val="{E5BB30AE-8E26-48C7-B46C-2C998E00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219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196"/>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73219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32196"/>
    <w:rPr>
      <w:b/>
      <w:bCs/>
    </w:rPr>
  </w:style>
  <w:style w:type="character" w:styleId="Hyperlink">
    <w:name w:val="Hyperlink"/>
    <w:basedOn w:val="DefaultParagraphFont"/>
    <w:uiPriority w:val="99"/>
    <w:semiHidden/>
    <w:unhideWhenUsed/>
    <w:rsid w:val="00732196"/>
    <w:rPr>
      <w:color w:val="0000FF"/>
      <w:u w:val="single"/>
    </w:rPr>
  </w:style>
  <w:style w:type="paragraph" w:styleId="BalloonText">
    <w:name w:val="Balloon Text"/>
    <w:basedOn w:val="Normal"/>
    <w:link w:val="BalloonTextChar"/>
    <w:uiPriority w:val="99"/>
    <w:semiHidden/>
    <w:unhideWhenUsed/>
    <w:rsid w:val="009B19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3D"/>
    <w:rPr>
      <w:rFonts w:ascii="Tahoma" w:hAnsi="Tahoma" w:cs="Tahoma"/>
      <w:sz w:val="16"/>
      <w:szCs w:val="16"/>
    </w:rPr>
  </w:style>
  <w:style w:type="table" w:styleId="TableGrid">
    <w:name w:val="Table Grid"/>
    <w:basedOn w:val="TableNormal"/>
    <w:rsid w:val="009B19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7F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F4C4F"/>
    <w:pPr>
      <w:tabs>
        <w:tab w:val="center" w:pos="4513"/>
        <w:tab w:val="right" w:pos="9026"/>
      </w:tabs>
      <w:spacing w:line="240" w:lineRule="auto"/>
    </w:pPr>
  </w:style>
  <w:style w:type="character" w:customStyle="1" w:styleId="HeaderChar">
    <w:name w:val="Header Char"/>
    <w:basedOn w:val="DefaultParagraphFont"/>
    <w:link w:val="Header"/>
    <w:uiPriority w:val="99"/>
    <w:rsid w:val="005F4C4F"/>
  </w:style>
  <w:style w:type="paragraph" w:styleId="Footer">
    <w:name w:val="footer"/>
    <w:basedOn w:val="Normal"/>
    <w:link w:val="FooterChar"/>
    <w:uiPriority w:val="99"/>
    <w:unhideWhenUsed/>
    <w:rsid w:val="005F4C4F"/>
    <w:pPr>
      <w:tabs>
        <w:tab w:val="center" w:pos="4513"/>
        <w:tab w:val="right" w:pos="9026"/>
      </w:tabs>
      <w:spacing w:line="240" w:lineRule="auto"/>
    </w:pPr>
  </w:style>
  <w:style w:type="character" w:customStyle="1" w:styleId="FooterChar">
    <w:name w:val="Footer Char"/>
    <w:basedOn w:val="DefaultParagraphFont"/>
    <w:link w:val="Footer"/>
    <w:uiPriority w:val="99"/>
    <w:rsid w:val="005F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264">
      <w:bodyDiv w:val="1"/>
      <w:marLeft w:val="0"/>
      <w:marRight w:val="0"/>
      <w:marTop w:val="0"/>
      <w:marBottom w:val="0"/>
      <w:divBdr>
        <w:top w:val="none" w:sz="0" w:space="0" w:color="auto"/>
        <w:left w:val="none" w:sz="0" w:space="0" w:color="auto"/>
        <w:bottom w:val="none" w:sz="0" w:space="0" w:color="auto"/>
        <w:right w:val="none" w:sz="0" w:space="0" w:color="auto"/>
      </w:divBdr>
    </w:div>
    <w:div w:id="200096192">
      <w:bodyDiv w:val="1"/>
      <w:marLeft w:val="0"/>
      <w:marRight w:val="0"/>
      <w:marTop w:val="0"/>
      <w:marBottom w:val="0"/>
      <w:divBdr>
        <w:top w:val="none" w:sz="0" w:space="0" w:color="auto"/>
        <w:left w:val="none" w:sz="0" w:space="0" w:color="auto"/>
        <w:bottom w:val="none" w:sz="0" w:space="0" w:color="auto"/>
        <w:right w:val="none" w:sz="0" w:space="0" w:color="auto"/>
      </w:divBdr>
    </w:div>
    <w:div w:id="322851662">
      <w:bodyDiv w:val="1"/>
      <w:marLeft w:val="0"/>
      <w:marRight w:val="0"/>
      <w:marTop w:val="0"/>
      <w:marBottom w:val="0"/>
      <w:divBdr>
        <w:top w:val="none" w:sz="0" w:space="0" w:color="auto"/>
        <w:left w:val="none" w:sz="0" w:space="0" w:color="auto"/>
        <w:bottom w:val="none" w:sz="0" w:space="0" w:color="auto"/>
        <w:right w:val="none" w:sz="0" w:space="0" w:color="auto"/>
      </w:divBdr>
    </w:div>
    <w:div w:id="576401338">
      <w:bodyDiv w:val="1"/>
      <w:marLeft w:val="0"/>
      <w:marRight w:val="0"/>
      <w:marTop w:val="0"/>
      <w:marBottom w:val="0"/>
      <w:divBdr>
        <w:top w:val="none" w:sz="0" w:space="0" w:color="auto"/>
        <w:left w:val="none" w:sz="0" w:space="0" w:color="auto"/>
        <w:bottom w:val="none" w:sz="0" w:space="0" w:color="auto"/>
        <w:right w:val="none" w:sz="0" w:space="0" w:color="auto"/>
      </w:divBdr>
    </w:div>
    <w:div w:id="1259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9/en/act/pub/0024/print.html" TargetMode="External"/><Relationship Id="rId13" Type="http://schemas.openxmlformats.org/officeDocument/2006/relationships/hyperlink" Target="http://www.dohc.ie/publications/HIA_Report_to_the_Minister.html" TargetMode="External"/><Relationship Id="rId3" Type="http://schemas.openxmlformats.org/officeDocument/2006/relationships/settings" Target="settings.xml"/><Relationship Id="rId7" Type="http://schemas.openxmlformats.org/officeDocument/2006/relationships/hyperlink" Target="http://www.dohc.ie/press/releases/2008/20081119.html" TargetMode="External"/><Relationship Id="rId12" Type="http://schemas.openxmlformats.org/officeDocument/2006/relationships/hyperlink" Target="http://www.hia.ie/assets/files/regulation/Health%20Insurance%20%28Amendment%29%20Act%2020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hc.ie/about_us/divisions/ppp_health_in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ia.ie/latest-news/archive/2010/hia-publishes-consultation-paper-on-risk-equalisation-in-the-irish-private-health-insurance-market-21.06.10/" TargetMode="External"/><Relationship Id="rId4" Type="http://schemas.openxmlformats.org/officeDocument/2006/relationships/webSettings" Target="webSettings.xml"/><Relationship Id="rId9" Type="http://schemas.openxmlformats.org/officeDocument/2006/relationships/hyperlink" Target="http://www.dohc.ie/press/releases/2010/20100527.html" TargetMode="External"/><Relationship Id="rId14" Type="http://schemas.openxmlformats.org/officeDocument/2006/relationships/hyperlink" Target="http://www.dohc.ie/publications/HIA_Report_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FFA7-195E-4763-BE74-EF138797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Sadhbh Kurzawska</dc:creator>
  <cp:lastModifiedBy>Cora Rattigan</cp:lastModifiedBy>
  <cp:revision>15</cp:revision>
  <cp:lastPrinted>2017-05-16T14:20:00Z</cp:lastPrinted>
  <dcterms:created xsi:type="dcterms:W3CDTF">2015-02-20T12:01:00Z</dcterms:created>
  <dcterms:modified xsi:type="dcterms:W3CDTF">2019-01-17T11:12:00Z</dcterms:modified>
</cp:coreProperties>
</file>