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287" w14:textId="77777777" w:rsidR="00837A29" w:rsidRDefault="00837A29" w:rsidP="00B31B64">
      <w:pPr>
        <w:pStyle w:val="Heading1"/>
      </w:pPr>
      <w:bookmarkStart w:id="0" w:name="_Toc31616410"/>
      <w:r>
        <w:t>The Position</w:t>
      </w:r>
      <w:bookmarkEnd w:id="0"/>
    </w:p>
    <w:p w14:paraId="2B8B50CB" w14:textId="1C0AC87D" w:rsidR="00837A29" w:rsidRPr="0075747B" w:rsidRDefault="00837A29" w:rsidP="00837A29">
      <w:pPr>
        <w:rPr>
          <w:rFonts w:cs="Arial"/>
          <w:b/>
          <w:sz w:val="24"/>
        </w:rPr>
      </w:pPr>
      <w:r w:rsidRPr="001D622A">
        <w:rPr>
          <w:b/>
        </w:rPr>
        <w:t>Title of position:</w:t>
      </w:r>
      <w:r>
        <w:rPr>
          <w:b/>
        </w:rPr>
        <w:t xml:space="preserve"> </w:t>
      </w:r>
      <w:r>
        <w:rPr>
          <w:b/>
        </w:rPr>
        <w:tab/>
      </w:r>
      <w:r>
        <w:rPr>
          <w:b/>
        </w:rPr>
        <w:tab/>
      </w:r>
      <w:r w:rsidR="00814EA6">
        <w:rPr>
          <w:rFonts w:cs="Arial"/>
          <w:szCs w:val="16"/>
        </w:rPr>
        <w:t xml:space="preserve">Human Resource </w:t>
      </w:r>
      <w:r w:rsidR="00A53541">
        <w:rPr>
          <w:rFonts w:cs="Arial"/>
          <w:szCs w:val="16"/>
        </w:rPr>
        <w:t>Lead</w:t>
      </w:r>
    </w:p>
    <w:p w14:paraId="1AA736DE" w14:textId="77777777" w:rsidR="00837A29" w:rsidRPr="001D622A" w:rsidRDefault="00837A29" w:rsidP="00837A29">
      <w:pPr>
        <w:ind w:left="2880" w:hanging="2880"/>
        <w:rPr>
          <w:b/>
        </w:rPr>
      </w:pPr>
      <w:r w:rsidRPr="001D622A">
        <w:rPr>
          <w:b/>
        </w:rPr>
        <w:t>Office address:</w:t>
      </w:r>
      <w:r>
        <w:rPr>
          <w:b/>
        </w:rPr>
        <w:tab/>
      </w:r>
      <w:r>
        <w:t>Beaux Lane House, Mercer Street Lower, Saint Peter's, Dublin 2, D02 DH60</w:t>
      </w:r>
    </w:p>
    <w:p w14:paraId="1BF0A231" w14:textId="77777777" w:rsidR="00837A29" w:rsidRDefault="00837A29" w:rsidP="00837A29">
      <w:pPr>
        <w:rPr>
          <w:b/>
        </w:rPr>
      </w:pPr>
      <w:r w:rsidRPr="001D622A">
        <w:rPr>
          <w:b/>
        </w:rPr>
        <w:t>Organisation website:</w:t>
      </w:r>
      <w:r>
        <w:rPr>
          <w:b/>
        </w:rPr>
        <w:tab/>
      </w:r>
      <w:r>
        <w:rPr>
          <w:b/>
        </w:rPr>
        <w:tab/>
      </w:r>
      <w:r w:rsidRPr="00220EF6">
        <w:t>www.h</w:t>
      </w:r>
      <w:r>
        <w:t>ia</w:t>
      </w:r>
      <w:r w:rsidRPr="00220EF6">
        <w:t>.ie</w:t>
      </w:r>
      <w:r>
        <w:rPr>
          <w:b/>
        </w:rPr>
        <w:t xml:space="preserve"> </w:t>
      </w:r>
    </w:p>
    <w:p w14:paraId="798AE679" w14:textId="77777777" w:rsidR="00837A29" w:rsidRPr="0005480E" w:rsidRDefault="00837A29" w:rsidP="00837A29">
      <w:pPr>
        <w:pStyle w:val="Heading2"/>
      </w:pPr>
      <w:r w:rsidRPr="0005480E">
        <w:t>Th</w:t>
      </w:r>
      <w:r w:rsidRPr="00C766FF">
        <w:t>e Organisation</w:t>
      </w:r>
    </w:p>
    <w:p w14:paraId="7AEE30C3" w14:textId="4696041B" w:rsidR="00E408F4" w:rsidRDefault="00136AFF" w:rsidP="00E408F4">
      <w:bookmarkStart w:id="1" w:name="_Hlk516558698"/>
      <w:r>
        <w:rPr>
          <w:lang w:val="en-US"/>
        </w:rPr>
        <w:t>T</w:t>
      </w:r>
      <w:r w:rsidR="00E408F4">
        <w:rPr>
          <w:lang w:val="en-US"/>
        </w:rPr>
        <w:t>he Health Insurance Authority is the statutory regulator of the health insurance sector in Ireland.</w:t>
      </w:r>
      <w:r w:rsidR="00C12D67">
        <w:rPr>
          <w:lang w:val="en-US"/>
        </w:rPr>
        <w:t xml:space="preserve">  </w:t>
      </w:r>
      <w:r w:rsidR="00E408F4">
        <w:t>The Authority plays a key role as an independent regulator, a provider of consumer information, an adviser to the Minister for Health</w:t>
      </w:r>
      <w:r w:rsidR="00C12D67">
        <w:t xml:space="preserve"> and as the </w:t>
      </w:r>
      <w:r w:rsidR="00E408F4">
        <w:t>custodian of the</w:t>
      </w:r>
      <w:r w:rsidR="00C12D67">
        <w:t xml:space="preserve"> Health Insurance R</w:t>
      </w:r>
      <w:r w:rsidR="00E408F4">
        <w:t xml:space="preserve">isk </w:t>
      </w:r>
      <w:r w:rsidR="00C12D67">
        <w:t>E</w:t>
      </w:r>
      <w:r w:rsidR="00E408F4">
        <w:t xml:space="preserve">qualisation </w:t>
      </w:r>
      <w:r w:rsidR="00C12D67">
        <w:t>F</w:t>
      </w:r>
      <w:r w:rsidR="00E408F4">
        <w:t>und</w:t>
      </w:r>
      <w:r w:rsidR="00C12D67">
        <w:t>.</w:t>
      </w:r>
      <w:r w:rsidR="00E408F4">
        <w:t xml:space="preserve"> The HIA is a small, dynamic organisation that is committed to delivering on its vision of a well-regulated, competitive health insurance market where consumers are empowered to make informed decisions. </w:t>
      </w:r>
    </w:p>
    <w:p w14:paraId="1ED1B3B0" w14:textId="716B3FC2" w:rsidR="00E408F4" w:rsidRDefault="00E408F4" w:rsidP="00E408F4">
      <w:r>
        <w:t>The purpose of the HIA is to regulate the</w:t>
      </w:r>
      <w:r w:rsidRPr="001C5D2D">
        <w:t xml:space="preserve"> </w:t>
      </w:r>
      <w:r>
        <w:t xml:space="preserve">health insurance market in Ireland in the public interest. This is done by analysing the market, designing appropriate regulations, and monitoring the compliance of the insurers with their obligations. We empower consumers to choose the right health insurance product for their needs.  </w:t>
      </w:r>
    </w:p>
    <w:p w14:paraId="6DE7214E" w14:textId="11F66DCD" w:rsidR="00E408F4" w:rsidRPr="0084518A" w:rsidRDefault="00E408F4" w:rsidP="00E408F4">
      <w:pPr>
        <w:rPr>
          <w:lang w:val="en-US"/>
        </w:rPr>
      </w:pPr>
      <w:r>
        <w:t xml:space="preserve">The HIA carries out </w:t>
      </w:r>
      <w:r w:rsidR="00C12D67">
        <w:t>its</w:t>
      </w:r>
      <w:r>
        <w:t xml:space="preserve"> work with a high degree of transparency and independence.</w:t>
      </w:r>
    </w:p>
    <w:p w14:paraId="56F59A48" w14:textId="77777777" w:rsidR="00E408F4" w:rsidRPr="008E3B0F" w:rsidRDefault="00E408F4" w:rsidP="00E408F4">
      <w:pPr>
        <w:rPr>
          <w:b/>
          <w:bCs/>
        </w:rPr>
      </w:pPr>
      <w:r w:rsidRPr="008E3B0F">
        <w:rPr>
          <w:b/>
          <w:bCs/>
        </w:rPr>
        <w:t>Governance</w:t>
      </w:r>
    </w:p>
    <w:p w14:paraId="272C9A31" w14:textId="5D66BFD9" w:rsidR="00E408F4" w:rsidRDefault="00E408F4" w:rsidP="00E408F4">
      <w:r>
        <w:t>The HIA is a public body, which is independent in the exercise of its statutory functions. For public accountability purposes, the HIA operates under the aegis of the Department of Health.  The HIA is governed by a 7</w:t>
      </w:r>
      <w:r w:rsidR="00C12D67">
        <w:t>-</w:t>
      </w:r>
      <w:r>
        <w:t>member Authority, who are appointed by the Minister for Health.</w:t>
      </w:r>
    </w:p>
    <w:p w14:paraId="75242210" w14:textId="77777777" w:rsidR="00E408F4" w:rsidRDefault="00E408F4" w:rsidP="00E408F4">
      <w:pPr>
        <w:rPr>
          <w:b/>
          <w:bCs/>
          <w:lang w:val="en-US"/>
        </w:rPr>
      </w:pPr>
      <w:r>
        <w:rPr>
          <w:b/>
          <w:bCs/>
          <w:lang w:val="en-US"/>
        </w:rPr>
        <w:t>Context of the Appointment</w:t>
      </w:r>
    </w:p>
    <w:p w14:paraId="063BBEF8" w14:textId="4AA7CF1A" w:rsidR="00E408F4" w:rsidRPr="00EC194E" w:rsidRDefault="00E408F4" w:rsidP="00E408F4">
      <w:pPr>
        <w:rPr>
          <w:lang w:val="en-US"/>
        </w:rPr>
      </w:pPr>
      <w:r>
        <w:t xml:space="preserve">A </w:t>
      </w:r>
      <w:r>
        <w:rPr>
          <w:lang w:val="en-US"/>
        </w:rPr>
        <w:t>three</w:t>
      </w:r>
      <w:r w:rsidR="00C12D67">
        <w:rPr>
          <w:lang w:val="en-US"/>
        </w:rPr>
        <w:t>-</w:t>
      </w:r>
      <w:r>
        <w:rPr>
          <w:lang w:val="en-US"/>
        </w:rPr>
        <w:t xml:space="preserve">year strategic plan for 2022-24 </w:t>
      </w:r>
      <w:r>
        <w:t>has recently been approved by the Authority</w:t>
      </w:r>
      <w:r>
        <w:rPr>
          <w:lang w:val="en-US"/>
        </w:rPr>
        <w:t>, which includes the following key priorities:</w:t>
      </w:r>
    </w:p>
    <w:p w14:paraId="3D19ED03" w14:textId="77777777" w:rsidR="00E408F4" w:rsidRPr="00871B51" w:rsidRDefault="00E408F4" w:rsidP="00E408F4">
      <w:pPr>
        <w:pStyle w:val="ListParagraph"/>
        <w:numPr>
          <w:ilvl w:val="0"/>
          <w:numId w:val="6"/>
        </w:numPr>
        <w:spacing w:after="200" w:line="276" w:lineRule="auto"/>
        <w:jc w:val="left"/>
        <w:rPr>
          <w:b/>
          <w:bCs/>
        </w:rPr>
      </w:pPr>
      <w:r>
        <w:rPr>
          <w:b/>
          <w:bCs/>
        </w:rPr>
        <w:t>Drive consumer focused health insurance regulation</w:t>
      </w:r>
    </w:p>
    <w:p w14:paraId="26A6596B" w14:textId="77777777" w:rsidR="00E408F4" w:rsidRDefault="00E408F4" w:rsidP="00E408F4">
      <w:pPr>
        <w:pStyle w:val="ListParagraph"/>
        <w:ind w:left="360"/>
      </w:pPr>
      <w:r>
        <w:t>We will use our thought leadership and understanding of the health insurance and related markets to design and implement effective regulation that delivers a competitive market, value for consumers and considers future needs.</w:t>
      </w:r>
    </w:p>
    <w:p w14:paraId="56C122BB" w14:textId="77777777" w:rsidR="00E408F4" w:rsidRPr="00871B51" w:rsidRDefault="00E408F4" w:rsidP="00E408F4">
      <w:pPr>
        <w:pStyle w:val="ListParagraph"/>
        <w:numPr>
          <w:ilvl w:val="0"/>
          <w:numId w:val="6"/>
        </w:numPr>
        <w:spacing w:after="200" w:line="276" w:lineRule="auto"/>
        <w:jc w:val="left"/>
        <w:rPr>
          <w:b/>
          <w:bCs/>
        </w:rPr>
      </w:pPr>
      <w:r w:rsidRPr="00871B51">
        <w:rPr>
          <w:b/>
          <w:bCs/>
        </w:rPr>
        <w:t xml:space="preserve">Ensure compliance and accountability through regulatory best practice </w:t>
      </w:r>
    </w:p>
    <w:p w14:paraId="4A5E3700" w14:textId="77777777" w:rsidR="00E408F4" w:rsidRPr="00FC11DB" w:rsidRDefault="00E408F4" w:rsidP="00E408F4">
      <w:pPr>
        <w:pStyle w:val="ListParagraph"/>
        <w:ind w:left="360"/>
      </w:pPr>
      <w:r>
        <w:t>We will use our powers to ensure effective compliance by insurance companies, through inspections, audits and providing guidance on all aspects of regulatory obligations</w:t>
      </w:r>
    </w:p>
    <w:p w14:paraId="1B70D764" w14:textId="77777777" w:rsidR="00E408F4" w:rsidRPr="0015329D" w:rsidRDefault="00E408F4" w:rsidP="00E408F4">
      <w:pPr>
        <w:pStyle w:val="ListParagraph"/>
        <w:numPr>
          <w:ilvl w:val="0"/>
          <w:numId w:val="6"/>
        </w:numPr>
        <w:spacing w:after="200" w:line="276" w:lineRule="auto"/>
        <w:jc w:val="left"/>
        <w:rPr>
          <w:b/>
          <w:bCs/>
        </w:rPr>
      </w:pPr>
      <w:r w:rsidRPr="0015329D">
        <w:rPr>
          <w:b/>
          <w:bCs/>
        </w:rPr>
        <w:t>Build Consumer Trust and empower consumers to make informed decisions</w:t>
      </w:r>
    </w:p>
    <w:p w14:paraId="5303C961" w14:textId="77777777" w:rsidR="00E408F4" w:rsidRDefault="00E408F4" w:rsidP="00E408F4">
      <w:pPr>
        <w:pStyle w:val="ListParagraph"/>
        <w:ind w:left="360"/>
      </w:pPr>
      <w:r>
        <w:t xml:space="preserve">We will build trust with consumers that the health insurance market can deliver benefit and value, by providing them with reliable information on prices, rights and obligations and the tools to make considered decisions.  We will mitigate the impact of product proliferation by empowering consumers to make informed choices.  </w:t>
      </w:r>
    </w:p>
    <w:p w14:paraId="535174F7" w14:textId="77777777" w:rsidR="00E408F4" w:rsidRPr="00FC37B3" w:rsidRDefault="00E408F4" w:rsidP="00E408F4">
      <w:pPr>
        <w:pStyle w:val="ListParagraph"/>
        <w:numPr>
          <w:ilvl w:val="0"/>
          <w:numId w:val="6"/>
        </w:numPr>
        <w:spacing w:after="200" w:line="276" w:lineRule="auto"/>
        <w:jc w:val="left"/>
        <w:rPr>
          <w:b/>
          <w:bCs/>
        </w:rPr>
      </w:pPr>
      <w:r>
        <w:rPr>
          <w:b/>
          <w:bCs/>
        </w:rPr>
        <w:t>Invest in digital capacity to enhance our capabilities</w:t>
      </w:r>
    </w:p>
    <w:p w14:paraId="770102B1" w14:textId="3A79E6EB" w:rsidR="00E408F4" w:rsidRPr="00FC37B3" w:rsidRDefault="00E408F4" w:rsidP="00E408F4">
      <w:pPr>
        <w:pStyle w:val="ListParagraph"/>
        <w:ind w:left="360"/>
      </w:pPr>
      <w:r>
        <w:t xml:space="preserve">We will </w:t>
      </w:r>
      <w:r w:rsidR="004A4372">
        <w:t>i</w:t>
      </w:r>
      <w:r>
        <w:t>nvest in our digital infrastructure and expertise to enhance our capabilities regarding market intelligence, managing compliance and improving the consumer experience.</w:t>
      </w:r>
    </w:p>
    <w:p w14:paraId="7CD12DC5" w14:textId="77777777" w:rsidR="00E408F4" w:rsidRPr="00D37EB5" w:rsidRDefault="00E408F4" w:rsidP="00E408F4">
      <w:pPr>
        <w:pStyle w:val="ListParagraph"/>
        <w:numPr>
          <w:ilvl w:val="0"/>
          <w:numId w:val="6"/>
        </w:numPr>
        <w:spacing w:after="200" w:line="276" w:lineRule="auto"/>
        <w:jc w:val="left"/>
        <w:rPr>
          <w:b/>
          <w:bCs/>
        </w:rPr>
      </w:pPr>
      <w:r w:rsidRPr="00D37EB5">
        <w:rPr>
          <w:b/>
          <w:bCs/>
        </w:rPr>
        <w:t>Develop our people to deliver effective outcomes and high standards of corporate governance</w:t>
      </w:r>
    </w:p>
    <w:p w14:paraId="7FD5C6F0" w14:textId="719C9F82" w:rsidR="00E408F4" w:rsidRPr="00EE0FC7" w:rsidRDefault="00E408F4" w:rsidP="00E408F4">
      <w:pPr>
        <w:pStyle w:val="ListParagraph"/>
        <w:ind w:left="360"/>
      </w:pPr>
      <w:r>
        <w:t>We will identify our workforce needs and invest in our staff to help them deliver a quality service and high standards of corporate governance.</w:t>
      </w:r>
    </w:p>
    <w:p w14:paraId="6A72E387" w14:textId="77777777" w:rsidR="00837A29" w:rsidRPr="00172EFF" w:rsidRDefault="00837A29" w:rsidP="00837A29">
      <w:pPr>
        <w:spacing w:before="60" w:line="276" w:lineRule="auto"/>
        <w:rPr>
          <w:rFonts w:cs="Arial"/>
          <w:color w:val="0000FF"/>
          <w:szCs w:val="20"/>
          <w:u w:val="single"/>
          <w:lang w:val="en-US" w:eastAsia="en-GB"/>
        </w:rPr>
      </w:pPr>
      <w:r w:rsidRPr="00172EFF">
        <w:rPr>
          <w:rFonts w:cs="Arial"/>
          <w:szCs w:val="20"/>
        </w:rPr>
        <w:t xml:space="preserve">Further information about the </w:t>
      </w:r>
      <w:r>
        <w:rPr>
          <w:rFonts w:cs="Arial"/>
          <w:szCs w:val="20"/>
        </w:rPr>
        <w:t>Authority</w:t>
      </w:r>
      <w:r w:rsidRPr="00172EFF">
        <w:rPr>
          <w:rFonts w:cs="Arial"/>
          <w:szCs w:val="20"/>
        </w:rPr>
        <w:t xml:space="preserve"> including publications and key documents is available at </w:t>
      </w:r>
      <w:hyperlink r:id="rId7" w:history="1">
        <w:r w:rsidRPr="00316F51">
          <w:rPr>
            <w:rStyle w:val="Hyperlink"/>
            <w:rFonts w:cs="Arial"/>
            <w:b/>
            <w:szCs w:val="20"/>
            <w:lang w:val="en-US" w:eastAsia="en-GB"/>
          </w:rPr>
          <w:t>www.hia.ie</w:t>
        </w:r>
      </w:hyperlink>
      <w:r w:rsidRPr="00172EFF">
        <w:rPr>
          <w:rFonts w:cs="Arial"/>
          <w:szCs w:val="20"/>
          <w:lang w:val="en-US" w:eastAsia="en-GB"/>
        </w:rPr>
        <w:t xml:space="preserve">. </w:t>
      </w:r>
    </w:p>
    <w:bookmarkEnd w:id="1"/>
    <w:p w14:paraId="5A41204C" w14:textId="5ABD0D97" w:rsidR="003140F1" w:rsidRPr="003140F1" w:rsidRDefault="00837A29" w:rsidP="003140F1">
      <w:pPr>
        <w:pStyle w:val="Heading2"/>
      </w:pPr>
      <w:r>
        <w:t>Th</w:t>
      </w:r>
      <w:r w:rsidRPr="00C766FF">
        <w:t>e Position</w:t>
      </w:r>
      <w:r w:rsidR="003140F1">
        <w:t xml:space="preserve"> - </w:t>
      </w:r>
      <w:bookmarkStart w:id="2" w:name="_Hlk47002709"/>
      <w:r w:rsidR="00814EA6">
        <w:rPr>
          <w:lang w:val="en-US"/>
        </w:rPr>
        <w:t xml:space="preserve">Human Resource </w:t>
      </w:r>
      <w:r w:rsidR="00A53541">
        <w:rPr>
          <w:lang w:val="en-US"/>
        </w:rPr>
        <w:t>LEAD</w:t>
      </w:r>
    </w:p>
    <w:p w14:paraId="3B4B4928" w14:textId="77777777" w:rsidR="00AE3606" w:rsidRDefault="003140F1" w:rsidP="00050EF5">
      <w:pPr>
        <w:pStyle w:val="ListParagraph"/>
        <w:widowControl w:val="0"/>
        <w:numPr>
          <w:ilvl w:val="0"/>
          <w:numId w:val="7"/>
        </w:numPr>
        <w:tabs>
          <w:tab w:val="left" w:pos="853"/>
          <w:tab w:val="left" w:pos="854"/>
        </w:tabs>
        <w:autoSpaceDE w:val="0"/>
        <w:autoSpaceDN w:val="0"/>
        <w:spacing w:after="0"/>
        <w:ind w:right="710"/>
        <w:contextualSpacing w:val="0"/>
        <w:jc w:val="left"/>
      </w:pPr>
      <w:r>
        <w:rPr>
          <w:rFonts w:eastAsia="Times New Roman"/>
        </w:rPr>
        <w:t>T</w:t>
      </w:r>
      <w:r w:rsidRPr="00044465">
        <w:rPr>
          <w:rFonts w:eastAsia="Times New Roman"/>
        </w:rPr>
        <w:t xml:space="preserve">he successful candidate will </w:t>
      </w:r>
      <w:r>
        <w:rPr>
          <w:rFonts w:eastAsia="Times New Roman"/>
        </w:rPr>
        <w:t xml:space="preserve">be a member of the HIA’s </w:t>
      </w:r>
      <w:r w:rsidR="00050EF5">
        <w:rPr>
          <w:rFonts w:eastAsia="Times New Roman"/>
        </w:rPr>
        <w:t>Operations</w:t>
      </w:r>
      <w:r>
        <w:rPr>
          <w:rFonts w:eastAsia="Times New Roman"/>
        </w:rPr>
        <w:t xml:space="preserve"> team</w:t>
      </w:r>
      <w:r w:rsidR="00050EF5">
        <w:rPr>
          <w:rFonts w:eastAsia="Times New Roman"/>
        </w:rPr>
        <w:t xml:space="preserve"> reporting to the Head of Operations.</w:t>
      </w:r>
      <w:r>
        <w:rPr>
          <w:rFonts w:eastAsia="Times New Roman"/>
        </w:rPr>
        <w:t xml:space="preserve"> They will </w:t>
      </w:r>
      <w:r>
        <w:t xml:space="preserve">be accountable for the efficient and effective operational delivery of the HIA’s </w:t>
      </w:r>
      <w:r w:rsidR="00050EF5">
        <w:t xml:space="preserve">Human Resources </w:t>
      </w:r>
      <w:r>
        <w:t>function</w:t>
      </w:r>
      <w:r w:rsidR="00050EF5" w:rsidRPr="00050EF5">
        <w:rPr>
          <w:rFonts w:eastAsia="Times New Roman"/>
        </w:rPr>
        <w:t xml:space="preserve"> </w:t>
      </w:r>
      <w:r w:rsidR="00050EF5">
        <w:rPr>
          <w:rFonts w:eastAsia="Times New Roman"/>
        </w:rPr>
        <w:t>e</w:t>
      </w:r>
      <w:r w:rsidR="00050EF5" w:rsidRPr="00044465">
        <w:rPr>
          <w:rFonts w:eastAsia="Times New Roman"/>
        </w:rPr>
        <w:t>nsuring that staff are professionally recruited, managed, and developed</w:t>
      </w:r>
      <w:r w:rsidR="00050EF5">
        <w:t xml:space="preserve">. </w:t>
      </w:r>
    </w:p>
    <w:p w14:paraId="78FA5766" w14:textId="68F5DDCF" w:rsidR="00050EF5" w:rsidRPr="00CD7F9D" w:rsidRDefault="00050EF5" w:rsidP="00AE3606">
      <w:pPr>
        <w:widowControl w:val="0"/>
        <w:tabs>
          <w:tab w:val="left" w:pos="853"/>
          <w:tab w:val="left" w:pos="854"/>
        </w:tabs>
        <w:autoSpaceDE w:val="0"/>
        <w:autoSpaceDN w:val="0"/>
        <w:spacing w:after="0"/>
        <w:ind w:left="360" w:right="710"/>
        <w:jc w:val="left"/>
      </w:pPr>
      <w:r>
        <w:t xml:space="preserve"> </w:t>
      </w:r>
    </w:p>
    <w:p w14:paraId="0F80E924" w14:textId="36F7CAC8" w:rsidR="003140F1" w:rsidRDefault="003140F1" w:rsidP="003140F1">
      <w:r>
        <w:t>.  The specific role involves:</w:t>
      </w:r>
    </w:p>
    <w:p w14:paraId="4B83A723" w14:textId="62C0FC52" w:rsidR="00CC1F05" w:rsidRDefault="00CC1F05" w:rsidP="003140F1">
      <w:pPr>
        <w:pStyle w:val="ListParagraph"/>
        <w:widowControl w:val="0"/>
        <w:numPr>
          <w:ilvl w:val="0"/>
          <w:numId w:val="7"/>
        </w:numPr>
        <w:tabs>
          <w:tab w:val="left" w:pos="853"/>
          <w:tab w:val="left" w:pos="854"/>
        </w:tabs>
        <w:autoSpaceDE w:val="0"/>
        <w:autoSpaceDN w:val="0"/>
        <w:spacing w:after="0"/>
        <w:ind w:right="710"/>
        <w:contextualSpacing w:val="0"/>
        <w:jc w:val="left"/>
      </w:pPr>
      <w:r>
        <w:t xml:space="preserve">Working with the Head of Operations to </w:t>
      </w:r>
      <w:r w:rsidR="00FA0EBC">
        <w:t>d</w:t>
      </w:r>
      <w:r>
        <w:t>evelop the Authority</w:t>
      </w:r>
      <w:r w:rsidR="00AC3E0F">
        <w:t>’s</w:t>
      </w:r>
      <w:r w:rsidR="00AC3E0F" w:rsidRPr="00AC3E0F">
        <w:t xml:space="preserve"> </w:t>
      </w:r>
      <w:r w:rsidR="00AC3E0F">
        <w:t>HRM framework</w:t>
      </w:r>
      <w:r w:rsidR="00FA0EBC">
        <w:t>.</w:t>
      </w:r>
    </w:p>
    <w:p w14:paraId="541B65EE" w14:textId="15F55110" w:rsidR="00FA0EBC" w:rsidRDefault="00FA0EBC" w:rsidP="00FA0EBC">
      <w:pPr>
        <w:pStyle w:val="ListParagraph"/>
        <w:widowControl w:val="0"/>
        <w:numPr>
          <w:ilvl w:val="0"/>
          <w:numId w:val="7"/>
        </w:numPr>
        <w:tabs>
          <w:tab w:val="left" w:pos="853"/>
          <w:tab w:val="left" w:pos="854"/>
        </w:tabs>
        <w:autoSpaceDE w:val="0"/>
        <w:autoSpaceDN w:val="0"/>
        <w:spacing w:after="0"/>
        <w:ind w:right="710"/>
        <w:contextualSpacing w:val="0"/>
        <w:jc w:val="left"/>
      </w:pPr>
      <w:r>
        <w:t xml:space="preserve">Selection and implementation of </w:t>
      </w:r>
      <w:r>
        <w:t>the Authority</w:t>
      </w:r>
      <w:r w:rsidR="008A614C">
        <w:t>’s</w:t>
      </w:r>
      <w:r w:rsidR="008A614C" w:rsidRPr="008A614C">
        <w:t xml:space="preserve"> </w:t>
      </w:r>
      <w:r w:rsidR="008A614C">
        <w:t>HR system</w:t>
      </w:r>
      <w:r w:rsidR="008A614C">
        <w:t>s</w:t>
      </w:r>
      <w:r>
        <w:t>.</w:t>
      </w:r>
    </w:p>
    <w:p w14:paraId="37D9E09D" w14:textId="3C8AB423" w:rsidR="00FA0EBC" w:rsidRDefault="00FA0EBC" w:rsidP="00FA0EBC">
      <w:pPr>
        <w:pStyle w:val="ListParagraph"/>
        <w:widowControl w:val="0"/>
        <w:numPr>
          <w:ilvl w:val="0"/>
          <w:numId w:val="7"/>
        </w:numPr>
        <w:tabs>
          <w:tab w:val="left" w:pos="853"/>
          <w:tab w:val="left" w:pos="854"/>
        </w:tabs>
        <w:autoSpaceDE w:val="0"/>
        <w:autoSpaceDN w:val="0"/>
        <w:spacing w:after="0"/>
        <w:ind w:right="710"/>
        <w:contextualSpacing w:val="0"/>
        <w:jc w:val="left"/>
      </w:pPr>
      <w:r>
        <w:t>P</w:t>
      </w:r>
      <w:r w:rsidRPr="00CD7F9D">
        <w:t xml:space="preserve">ayroll and pension processing </w:t>
      </w:r>
      <w:r>
        <w:t>including interaction with the Revenue Office.</w:t>
      </w:r>
    </w:p>
    <w:p w14:paraId="5FCA6E81" w14:textId="0FAB0303" w:rsidR="00AC3E0F" w:rsidRDefault="00AC3E0F" w:rsidP="00AC3E0F">
      <w:pPr>
        <w:pStyle w:val="ListParagraph"/>
        <w:widowControl w:val="0"/>
        <w:numPr>
          <w:ilvl w:val="0"/>
          <w:numId w:val="7"/>
        </w:numPr>
        <w:tabs>
          <w:tab w:val="left" w:pos="853"/>
          <w:tab w:val="left" w:pos="854"/>
        </w:tabs>
        <w:autoSpaceDE w:val="0"/>
        <w:autoSpaceDN w:val="0"/>
        <w:spacing w:after="0"/>
        <w:ind w:right="710"/>
        <w:contextualSpacing w:val="0"/>
        <w:jc w:val="left"/>
      </w:pPr>
      <w:r>
        <w:t xml:space="preserve">Managing the </w:t>
      </w:r>
      <w:r w:rsidR="00FA0EBC">
        <w:t>r</w:t>
      </w:r>
      <w:r w:rsidRPr="00CD7F9D">
        <w:t>ecruitment</w:t>
      </w:r>
      <w:r>
        <w:t xml:space="preserve">, onboarding, </w:t>
      </w:r>
      <w:r w:rsidR="00FA0EBC">
        <w:t>probation,</w:t>
      </w:r>
      <w:r>
        <w:t xml:space="preserve"> and performance management processes</w:t>
      </w:r>
      <w:r w:rsidR="00FA0EBC">
        <w:t>.</w:t>
      </w:r>
    </w:p>
    <w:p w14:paraId="0807B0C0" w14:textId="77777777" w:rsidR="00FA0EBC" w:rsidRPr="00FA0EBC" w:rsidRDefault="00FA0EBC" w:rsidP="00FA0EBC">
      <w:pPr>
        <w:pStyle w:val="ListParagraph"/>
        <w:widowControl w:val="0"/>
        <w:numPr>
          <w:ilvl w:val="0"/>
          <w:numId w:val="7"/>
        </w:numPr>
        <w:tabs>
          <w:tab w:val="left" w:pos="853"/>
          <w:tab w:val="left" w:pos="854"/>
        </w:tabs>
        <w:autoSpaceDE w:val="0"/>
        <w:autoSpaceDN w:val="0"/>
        <w:spacing w:after="0"/>
        <w:ind w:right="710"/>
        <w:contextualSpacing w:val="0"/>
        <w:jc w:val="left"/>
      </w:pPr>
      <w:r>
        <w:rPr>
          <w:spacing w:val="-2"/>
        </w:rPr>
        <w:t>Development and</w:t>
      </w:r>
      <w:r w:rsidRPr="00050EF5">
        <w:rPr>
          <w:spacing w:val="-2"/>
        </w:rPr>
        <w:t xml:space="preserve"> administration of HR policies and procedures</w:t>
      </w:r>
      <w:r>
        <w:rPr>
          <w:spacing w:val="-2"/>
        </w:rPr>
        <w:t>.</w:t>
      </w:r>
    </w:p>
    <w:p w14:paraId="3E7AA487" w14:textId="40AFF837" w:rsidR="00FA0EBC" w:rsidRPr="00050EF5" w:rsidRDefault="00FA0EBC" w:rsidP="00FA0EBC">
      <w:pPr>
        <w:pStyle w:val="ListParagraph"/>
        <w:widowControl w:val="0"/>
        <w:numPr>
          <w:ilvl w:val="0"/>
          <w:numId w:val="7"/>
        </w:numPr>
        <w:tabs>
          <w:tab w:val="left" w:pos="853"/>
          <w:tab w:val="left" w:pos="854"/>
        </w:tabs>
        <w:autoSpaceDE w:val="0"/>
        <w:autoSpaceDN w:val="0"/>
        <w:spacing w:after="0"/>
        <w:ind w:right="710"/>
        <w:contextualSpacing w:val="0"/>
        <w:jc w:val="left"/>
      </w:pPr>
      <w:r>
        <w:rPr>
          <w:spacing w:val="-2"/>
        </w:rPr>
        <w:t>Maintaining positive</w:t>
      </w:r>
      <w:r w:rsidRPr="00050EF5">
        <w:rPr>
          <w:spacing w:val="-2"/>
        </w:rPr>
        <w:t xml:space="preserve"> </w:t>
      </w:r>
      <w:r w:rsidR="008A614C">
        <w:rPr>
          <w:spacing w:val="-2"/>
        </w:rPr>
        <w:t>e</w:t>
      </w:r>
      <w:r w:rsidRPr="00CD7F9D">
        <w:t>mployee relations</w:t>
      </w:r>
      <w:r w:rsidR="008A614C">
        <w:t xml:space="preserve"> across the organisation.</w:t>
      </w:r>
    </w:p>
    <w:p w14:paraId="5A7060E8" w14:textId="61A1813D" w:rsidR="00050EF5" w:rsidRDefault="00050EF5" w:rsidP="003140F1">
      <w:pPr>
        <w:pStyle w:val="ListParagraph"/>
        <w:widowControl w:val="0"/>
        <w:numPr>
          <w:ilvl w:val="0"/>
          <w:numId w:val="7"/>
        </w:numPr>
        <w:tabs>
          <w:tab w:val="left" w:pos="853"/>
          <w:tab w:val="left" w:pos="854"/>
        </w:tabs>
        <w:autoSpaceDE w:val="0"/>
        <w:autoSpaceDN w:val="0"/>
        <w:spacing w:after="0"/>
        <w:ind w:right="710"/>
        <w:contextualSpacing w:val="0"/>
        <w:jc w:val="left"/>
      </w:pPr>
      <w:r>
        <w:t>W</w:t>
      </w:r>
      <w:r w:rsidRPr="00CD7F9D">
        <w:t xml:space="preserve">orkforce </w:t>
      </w:r>
      <w:r>
        <w:t>P</w:t>
      </w:r>
      <w:r w:rsidRPr="00CD7F9D">
        <w:t>lanning</w:t>
      </w:r>
      <w:r>
        <w:t xml:space="preserve"> including preparation of business cases and liaison with the Department of Health and the Department of Public Expenditure and Reform</w:t>
      </w:r>
      <w:r w:rsidR="00DF4308">
        <w:t>.</w:t>
      </w:r>
    </w:p>
    <w:p w14:paraId="5CDBAB75" w14:textId="7082BCA3" w:rsidR="00CC1F05" w:rsidRDefault="00CC1F05" w:rsidP="003140F1">
      <w:pPr>
        <w:pStyle w:val="ListParagraph"/>
        <w:widowControl w:val="0"/>
        <w:numPr>
          <w:ilvl w:val="0"/>
          <w:numId w:val="7"/>
        </w:numPr>
        <w:tabs>
          <w:tab w:val="left" w:pos="853"/>
          <w:tab w:val="left" w:pos="854"/>
        </w:tabs>
        <w:autoSpaceDE w:val="0"/>
        <w:autoSpaceDN w:val="0"/>
        <w:spacing w:after="0"/>
        <w:ind w:right="710"/>
        <w:contextualSpacing w:val="0"/>
        <w:jc w:val="left"/>
      </w:pPr>
      <w:r>
        <w:t xml:space="preserve">Rollout </w:t>
      </w:r>
      <w:r w:rsidR="00FA0EBC">
        <w:t xml:space="preserve">and ongoing development </w:t>
      </w:r>
      <w:r>
        <w:t xml:space="preserve">of </w:t>
      </w:r>
      <w:r w:rsidR="008A614C">
        <w:t>the Authority’s</w:t>
      </w:r>
      <w:r>
        <w:t xml:space="preserve"> hybrid work</w:t>
      </w:r>
      <w:r w:rsidR="008A614C">
        <w:t>ing</w:t>
      </w:r>
      <w:r>
        <w:t xml:space="preserve"> environment.</w:t>
      </w:r>
    </w:p>
    <w:p w14:paraId="3FC7D7FE" w14:textId="0AB32386" w:rsidR="00050EF5" w:rsidRDefault="00FA0EBC" w:rsidP="008F7EB8">
      <w:pPr>
        <w:pStyle w:val="ListParagraph"/>
        <w:widowControl w:val="0"/>
        <w:numPr>
          <w:ilvl w:val="0"/>
          <w:numId w:val="7"/>
        </w:numPr>
        <w:tabs>
          <w:tab w:val="left" w:pos="853"/>
          <w:tab w:val="left" w:pos="854"/>
        </w:tabs>
        <w:autoSpaceDE w:val="0"/>
        <w:autoSpaceDN w:val="0"/>
        <w:spacing w:after="0"/>
        <w:ind w:right="710"/>
        <w:contextualSpacing w:val="0"/>
        <w:jc w:val="left"/>
      </w:pPr>
      <w:r>
        <w:t xml:space="preserve">Identifying and implementing </w:t>
      </w:r>
      <w:r w:rsidR="008A614C">
        <w:t xml:space="preserve">cross-functional </w:t>
      </w:r>
      <w:r>
        <w:t>T</w:t>
      </w:r>
      <w:r w:rsidR="00050EF5" w:rsidRPr="00CD7F9D">
        <w:t xml:space="preserve">raining and </w:t>
      </w:r>
      <w:r w:rsidR="00CC1F05">
        <w:t>D</w:t>
      </w:r>
      <w:r w:rsidR="00050EF5" w:rsidRPr="00CD7F9D">
        <w:t>evelopment</w:t>
      </w:r>
      <w:r>
        <w:t xml:space="preserve"> </w:t>
      </w:r>
      <w:r w:rsidRPr="00DF4308">
        <w:rPr>
          <w:rFonts w:cs="Arial"/>
          <w:color w:val="202124"/>
          <w:shd w:val="clear" w:color="auto" w:fill="FFFFFF"/>
        </w:rPr>
        <w:t>initiatives</w:t>
      </w:r>
      <w:r w:rsidRPr="00DF4308">
        <w:rPr>
          <w:rFonts w:cs="Arial"/>
          <w:color w:val="202124"/>
          <w:shd w:val="clear" w:color="auto" w:fill="FFFFFF"/>
        </w:rPr>
        <w:t>.</w:t>
      </w:r>
      <w:r w:rsidR="00050EF5" w:rsidRPr="00CD7F9D">
        <w:t xml:space="preserve"> </w:t>
      </w:r>
    </w:p>
    <w:p w14:paraId="24A70179" w14:textId="77777777" w:rsidR="003140F1" w:rsidRDefault="003140F1" w:rsidP="003140F1">
      <w:pPr>
        <w:pStyle w:val="Heading3"/>
        <w:numPr>
          <w:ilvl w:val="0"/>
          <w:numId w:val="0"/>
        </w:numPr>
        <w:ind w:left="720" w:hanging="720"/>
      </w:pPr>
      <w:r w:rsidRPr="009119C8">
        <w:t>Reporting and Working Relationships</w:t>
      </w:r>
    </w:p>
    <w:p w14:paraId="35F0367B" w14:textId="012E0149" w:rsidR="003140F1" w:rsidRDefault="003140F1" w:rsidP="003140F1">
      <w:pPr>
        <w:widowControl w:val="0"/>
        <w:tabs>
          <w:tab w:val="left" w:pos="853"/>
          <w:tab w:val="left" w:pos="854"/>
        </w:tabs>
        <w:autoSpaceDE w:val="0"/>
        <w:autoSpaceDN w:val="0"/>
        <w:spacing w:after="0" w:line="276" w:lineRule="auto"/>
        <w:ind w:right="427"/>
        <w:rPr>
          <w:spacing w:val="-2"/>
        </w:rPr>
      </w:pPr>
      <w:r>
        <w:rPr>
          <w:spacing w:val="-2"/>
        </w:rPr>
        <w:t xml:space="preserve">The </w:t>
      </w:r>
      <w:r w:rsidR="00050EF5">
        <w:rPr>
          <w:spacing w:val="-2"/>
        </w:rPr>
        <w:t>HR</w:t>
      </w:r>
      <w:r w:rsidR="00852229">
        <w:rPr>
          <w:spacing w:val="-2"/>
        </w:rPr>
        <w:t xml:space="preserve"> Lead</w:t>
      </w:r>
      <w:r>
        <w:rPr>
          <w:spacing w:val="-2"/>
        </w:rPr>
        <w:t xml:space="preserve"> is expected to develop and maintain key working relationships with the following:</w:t>
      </w:r>
    </w:p>
    <w:p w14:paraId="5CF3EFE9" w14:textId="77777777" w:rsidR="00E54EE7" w:rsidRDefault="00E54EE7" w:rsidP="003140F1">
      <w:pPr>
        <w:widowControl w:val="0"/>
        <w:tabs>
          <w:tab w:val="left" w:pos="853"/>
          <w:tab w:val="left" w:pos="854"/>
        </w:tabs>
        <w:autoSpaceDE w:val="0"/>
        <w:autoSpaceDN w:val="0"/>
        <w:spacing w:after="0" w:line="276" w:lineRule="auto"/>
        <w:ind w:right="427"/>
        <w:rPr>
          <w:spacing w:val="-2"/>
        </w:rPr>
      </w:pPr>
    </w:p>
    <w:p w14:paraId="5B66D703" w14:textId="77777777" w:rsidR="003140F1" w:rsidRPr="00057127" w:rsidRDefault="003140F1" w:rsidP="003140F1">
      <w:pPr>
        <w:pStyle w:val="ListParagraph"/>
        <w:widowControl w:val="0"/>
        <w:numPr>
          <w:ilvl w:val="0"/>
          <w:numId w:val="9"/>
        </w:numPr>
        <w:tabs>
          <w:tab w:val="left" w:pos="853"/>
          <w:tab w:val="left" w:pos="854"/>
        </w:tabs>
        <w:autoSpaceDE w:val="0"/>
        <w:autoSpaceDN w:val="0"/>
        <w:spacing w:after="0" w:line="276" w:lineRule="auto"/>
        <w:ind w:right="427"/>
        <w:jc w:val="left"/>
        <w:rPr>
          <w:spacing w:val="-2"/>
        </w:rPr>
      </w:pPr>
      <w:r w:rsidRPr="00057127">
        <w:rPr>
          <w:spacing w:val="-2"/>
        </w:rPr>
        <w:t>HIA senior management team</w:t>
      </w:r>
    </w:p>
    <w:p w14:paraId="02DADAB9" w14:textId="05FC4DA5" w:rsidR="003140F1" w:rsidRPr="00CC1F05" w:rsidRDefault="003140F1" w:rsidP="00CC1F05">
      <w:pPr>
        <w:pStyle w:val="ListParagraph"/>
        <w:widowControl w:val="0"/>
        <w:numPr>
          <w:ilvl w:val="0"/>
          <w:numId w:val="9"/>
        </w:numPr>
        <w:tabs>
          <w:tab w:val="left" w:pos="853"/>
          <w:tab w:val="left" w:pos="854"/>
        </w:tabs>
        <w:autoSpaceDE w:val="0"/>
        <w:autoSpaceDN w:val="0"/>
        <w:spacing w:after="0" w:line="276" w:lineRule="auto"/>
        <w:ind w:right="427"/>
        <w:jc w:val="left"/>
        <w:rPr>
          <w:spacing w:val="-2"/>
        </w:rPr>
      </w:pPr>
      <w:r w:rsidRPr="00057127">
        <w:rPr>
          <w:spacing w:val="-2"/>
        </w:rPr>
        <w:t>Board of the Health Insurance Authority</w:t>
      </w:r>
    </w:p>
    <w:p w14:paraId="2105923F" w14:textId="77777777" w:rsidR="003140F1" w:rsidRPr="00057127" w:rsidRDefault="003140F1" w:rsidP="003140F1">
      <w:pPr>
        <w:pStyle w:val="ListParagraph"/>
        <w:widowControl w:val="0"/>
        <w:numPr>
          <w:ilvl w:val="0"/>
          <w:numId w:val="9"/>
        </w:numPr>
        <w:tabs>
          <w:tab w:val="left" w:pos="853"/>
          <w:tab w:val="left" w:pos="854"/>
        </w:tabs>
        <w:autoSpaceDE w:val="0"/>
        <w:autoSpaceDN w:val="0"/>
        <w:spacing w:after="0" w:line="276" w:lineRule="auto"/>
        <w:ind w:right="427"/>
        <w:jc w:val="left"/>
        <w:rPr>
          <w:spacing w:val="-2"/>
        </w:rPr>
      </w:pPr>
      <w:r w:rsidRPr="00057127">
        <w:rPr>
          <w:spacing w:val="-2"/>
        </w:rPr>
        <w:t xml:space="preserve">Department of </w:t>
      </w:r>
      <w:r>
        <w:rPr>
          <w:spacing w:val="-2"/>
        </w:rPr>
        <w:t>H</w:t>
      </w:r>
      <w:r w:rsidRPr="00057127">
        <w:rPr>
          <w:spacing w:val="-2"/>
        </w:rPr>
        <w:t>ealth and other state agencies.</w:t>
      </w:r>
    </w:p>
    <w:bookmarkEnd w:id="2"/>
    <w:p w14:paraId="2FB85509" w14:textId="77777777" w:rsidR="00837A29" w:rsidRDefault="00837A29" w:rsidP="00837A29">
      <w:pPr>
        <w:pStyle w:val="Heading2"/>
      </w:pPr>
      <w:r>
        <w:t>Experience and Personal Qualities Required</w:t>
      </w:r>
    </w:p>
    <w:p w14:paraId="40BCD399" w14:textId="77777777" w:rsidR="00DF4308" w:rsidRDefault="00837A29" w:rsidP="00DF4308">
      <w:pPr>
        <w:pStyle w:val="Heading3"/>
        <w:numPr>
          <w:ilvl w:val="0"/>
          <w:numId w:val="0"/>
        </w:numPr>
        <w:ind w:left="720" w:hanging="720"/>
      </w:pPr>
      <w:r w:rsidRPr="00C766FF">
        <w:t>The Person</w:t>
      </w:r>
    </w:p>
    <w:p w14:paraId="7C524DE6" w14:textId="669D6F1F" w:rsidR="00837A29" w:rsidRDefault="00837A29" w:rsidP="00DF4308">
      <w:pPr>
        <w:pStyle w:val="Heading3"/>
        <w:numPr>
          <w:ilvl w:val="0"/>
          <w:numId w:val="0"/>
        </w:numPr>
        <w:ind w:left="720" w:hanging="720"/>
      </w:pPr>
      <w:r w:rsidRPr="00C766FF">
        <w:t xml:space="preserve">Essential </w:t>
      </w:r>
      <w:r w:rsidR="003140F1">
        <w:t>Criteria</w:t>
      </w:r>
    </w:p>
    <w:p w14:paraId="75B2EFA5" w14:textId="77777777" w:rsidR="003140F1" w:rsidRPr="00B55824" w:rsidRDefault="003140F1" w:rsidP="003140F1">
      <w:pPr>
        <w:outlineLvl w:val="0"/>
        <w:rPr>
          <w:rFonts w:eastAsia="Times New Roman"/>
          <w:b/>
        </w:rPr>
      </w:pPr>
      <w:bookmarkStart w:id="3" w:name="_Hlk111786380"/>
      <w:r w:rsidRPr="00CF48EF">
        <w:rPr>
          <w:rFonts w:eastAsia="Times New Roman"/>
          <w:bCs/>
        </w:rPr>
        <w:t>As a minimum, candidates should explicitly demonstrate the following within their application</w:t>
      </w:r>
      <w:r>
        <w:rPr>
          <w:rFonts w:eastAsia="Times New Roman"/>
          <w:b/>
        </w:rPr>
        <w:t xml:space="preserve">: </w:t>
      </w:r>
    </w:p>
    <w:bookmarkEnd w:id="3"/>
    <w:p w14:paraId="6CA07AB5" w14:textId="77777777" w:rsidR="003140F1" w:rsidRPr="00D80563" w:rsidRDefault="003140F1" w:rsidP="003140F1">
      <w:pPr>
        <w:pStyle w:val="ListParagraph"/>
        <w:numPr>
          <w:ilvl w:val="0"/>
          <w:numId w:val="13"/>
        </w:numPr>
        <w:spacing w:after="0"/>
        <w:rPr>
          <w:rFonts w:eastAsia="Times New Roman"/>
        </w:rPr>
      </w:pPr>
      <w:r>
        <w:t xml:space="preserve">A relevant qualification at level 8 or equivalent on the NFQ </w:t>
      </w:r>
    </w:p>
    <w:p w14:paraId="63907600" w14:textId="2AA8214A" w:rsidR="003140F1" w:rsidRPr="00CF48EF" w:rsidRDefault="003140F1" w:rsidP="003140F1">
      <w:pPr>
        <w:pStyle w:val="ListParagraph"/>
        <w:numPr>
          <w:ilvl w:val="0"/>
          <w:numId w:val="13"/>
        </w:numPr>
        <w:spacing w:after="0"/>
        <w:rPr>
          <w:rFonts w:eastAsia="Times New Roman"/>
        </w:rPr>
      </w:pPr>
      <w:r>
        <w:rPr>
          <w:rFonts w:eastAsia="Times New Roman"/>
        </w:rPr>
        <w:t xml:space="preserve">A recognised </w:t>
      </w:r>
      <w:r w:rsidR="00CC1F05">
        <w:rPr>
          <w:rFonts w:eastAsia="Times New Roman"/>
        </w:rPr>
        <w:t>Human Resources</w:t>
      </w:r>
      <w:r>
        <w:rPr>
          <w:rFonts w:eastAsia="Times New Roman"/>
        </w:rPr>
        <w:t xml:space="preserve"> qualification </w:t>
      </w:r>
    </w:p>
    <w:p w14:paraId="380BCEC5" w14:textId="698D55DD" w:rsidR="003140F1" w:rsidRPr="00CF48EF" w:rsidRDefault="003140F1" w:rsidP="003140F1">
      <w:pPr>
        <w:pStyle w:val="ListParagraph"/>
        <w:numPr>
          <w:ilvl w:val="0"/>
          <w:numId w:val="13"/>
        </w:numPr>
        <w:spacing w:after="0"/>
        <w:rPr>
          <w:rFonts w:eastAsia="Times New Roman"/>
        </w:rPr>
      </w:pPr>
      <w:r>
        <w:t xml:space="preserve">A </w:t>
      </w:r>
      <w:r>
        <w:rPr>
          <w:rFonts w:eastAsia="Times New Roman"/>
        </w:rPr>
        <w:t xml:space="preserve">minimum of 5 </w:t>
      </w:r>
      <w:r w:rsidR="008A09CA">
        <w:rPr>
          <w:rFonts w:eastAsia="Times New Roman"/>
        </w:rPr>
        <w:t xml:space="preserve">years </w:t>
      </w:r>
      <w:r>
        <w:rPr>
          <w:rFonts w:eastAsia="Times New Roman"/>
        </w:rPr>
        <w:t>post-qualification experience</w:t>
      </w:r>
      <w:r w:rsidR="00CC1F05">
        <w:rPr>
          <w:rFonts w:eastAsia="Times New Roman"/>
        </w:rPr>
        <w:t xml:space="preserve"> in Human Resources</w:t>
      </w:r>
    </w:p>
    <w:p w14:paraId="2174A8D9" w14:textId="67CB9946" w:rsidR="003140F1" w:rsidRDefault="003140F1" w:rsidP="003140F1">
      <w:pPr>
        <w:pStyle w:val="ListParagraph"/>
        <w:numPr>
          <w:ilvl w:val="0"/>
          <w:numId w:val="13"/>
        </w:numPr>
        <w:spacing w:after="0"/>
        <w:rPr>
          <w:rFonts w:eastAsia="Times New Roman"/>
        </w:rPr>
      </w:pPr>
      <w:r w:rsidRPr="00044465">
        <w:rPr>
          <w:rFonts w:eastAsia="Times New Roman"/>
        </w:rPr>
        <w:t xml:space="preserve">Excellent communication </w:t>
      </w:r>
      <w:r w:rsidR="00DF4308">
        <w:rPr>
          <w:rFonts w:eastAsia="Times New Roman"/>
        </w:rPr>
        <w:t xml:space="preserve">and interpersonal </w:t>
      </w:r>
      <w:r w:rsidRPr="00044465">
        <w:rPr>
          <w:rFonts w:eastAsia="Times New Roman"/>
        </w:rPr>
        <w:t>skills</w:t>
      </w:r>
      <w:r w:rsidR="00DF4308">
        <w:rPr>
          <w:rFonts w:eastAsia="Times New Roman"/>
        </w:rPr>
        <w:t>.</w:t>
      </w:r>
    </w:p>
    <w:p w14:paraId="4BC11125" w14:textId="77777777" w:rsidR="00FA0EBC" w:rsidRPr="00044465" w:rsidRDefault="00FA0EBC" w:rsidP="00FA0EBC">
      <w:pPr>
        <w:pStyle w:val="ListParagraph"/>
        <w:numPr>
          <w:ilvl w:val="0"/>
          <w:numId w:val="13"/>
        </w:numPr>
        <w:spacing w:after="0"/>
        <w:rPr>
          <w:rFonts w:eastAsia="Times New Roman"/>
        </w:rPr>
      </w:pPr>
      <w:r>
        <w:rPr>
          <w:rFonts w:eastAsia="Times New Roman"/>
        </w:rPr>
        <w:t>E</w:t>
      </w:r>
      <w:r w:rsidRPr="00044465">
        <w:rPr>
          <w:rFonts w:eastAsia="Times New Roman"/>
        </w:rPr>
        <w:t>xperience</w:t>
      </w:r>
      <w:r>
        <w:rPr>
          <w:rFonts w:eastAsia="Times New Roman"/>
        </w:rPr>
        <w:t xml:space="preserve"> operating in a similar type of</w:t>
      </w:r>
      <w:r w:rsidRPr="00044465">
        <w:rPr>
          <w:rFonts w:eastAsia="Times New Roman"/>
        </w:rPr>
        <w:t xml:space="preserve"> </w:t>
      </w:r>
      <w:r>
        <w:rPr>
          <w:rFonts w:eastAsia="Times New Roman"/>
        </w:rPr>
        <w:t>public sector organisation</w:t>
      </w:r>
    </w:p>
    <w:p w14:paraId="60FE1377" w14:textId="77777777" w:rsidR="00837A29" w:rsidRDefault="00837A29" w:rsidP="00837A29">
      <w:pPr>
        <w:pStyle w:val="Heading3"/>
        <w:numPr>
          <w:ilvl w:val="0"/>
          <w:numId w:val="0"/>
        </w:numPr>
        <w:ind w:left="720" w:hanging="720"/>
      </w:pPr>
      <w:r w:rsidRPr="002979A7">
        <w:t>Desirable Requirements</w:t>
      </w:r>
    </w:p>
    <w:p w14:paraId="62DE1DF5" w14:textId="77777777" w:rsidR="003140F1" w:rsidRPr="00CF48EF" w:rsidRDefault="003140F1" w:rsidP="003140F1">
      <w:pPr>
        <w:outlineLvl w:val="0"/>
        <w:rPr>
          <w:rFonts w:eastAsia="Times New Roman"/>
          <w:bCs/>
        </w:rPr>
      </w:pPr>
      <w:bookmarkStart w:id="4" w:name="_Hlk111786161"/>
      <w:r w:rsidRPr="00CF48EF">
        <w:rPr>
          <w:rFonts w:eastAsia="Times New Roman"/>
          <w:bCs/>
        </w:rPr>
        <w:t>The ideal candidate will</w:t>
      </w:r>
      <w:r>
        <w:rPr>
          <w:rFonts w:eastAsia="Times New Roman"/>
          <w:bCs/>
        </w:rPr>
        <w:t xml:space="preserve"> also demonstrate the following within their application</w:t>
      </w:r>
      <w:bookmarkEnd w:id="4"/>
      <w:r w:rsidRPr="00CF48EF">
        <w:rPr>
          <w:rFonts w:eastAsia="Times New Roman"/>
          <w:bCs/>
        </w:rPr>
        <w:t xml:space="preserve">: </w:t>
      </w:r>
    </w:p>
    <w:p w14:paraId="1A951484" w14:textId="2E87825E" w:rsidR="003140F1" w:rsidRPr="00044465" w:rsidRDefault="003140F1" w:rsidP="003140F1">
      <w:pPr>
        <w:pStyle w:val="ListParagraph"/>
        <w:numPr>
          <w:ilvl w:val="0"/>
          <w:numId w:val="13"/>
        </w:numPr>
        <w:spacing w:after="0"/>
        <w:rPr>
          <w:rFonts w:eastAsia="Times New Roman"/>
        </w:rPr>
      </w:pPr>
      <w:r w:rsidRPr="00044465">
        <w:rPr>
          <w:rFonts w:eastAsia="Times New Roman"/>
        </w:rPr>
        <w:t xml:space="preserve">Experience of </w:t>
      </w:r>
      <w:r w:rsidR="00FA0EBC">
        <w:rPr>
          <w:rFonts w:eastAsia="Times New Roman"/>
        </w:rPr>
        <w:t>implementing HR system</w:t>
      </w:r>
      <w:r w:rsidR="00DF4308">
        <w:rPr>
          <w:rFonts w:eastAsia="Times New Roman"/>
        </w:rPr>
        <w:t>s</w:t>
      </w:r>
      <w:r w:rsidR="00FA0EBC">
        <w:rPr>
          <w:rFonts w:eastAsia="Times New Roman"/>
        </w:rPr>
        <w:t>.</w:t>
      </w:r>
    </w:p>
    <w:p w14:paraId="267208CD" w14:textId="68FE5AD8" w:rsidR="003140F1" w:rsidRPr="00393480" w:rsidRDefault="00DF4308" w:rsidP="003140F1">
      <w:pPr>
        <w:pStyle w:val="ListParagraph"/>
        <w:numPr>
          <w:ilvl w:val="0"/>
          <w:numId w:val="13"/>
        </w:numPr>
        <w:spacing w:after="0"/>
        <w:rPr>
          <w:rFonts w:eastAsia="Times New Roman"/>
        </w:rPr>
      </w:pPr>
      <w:r>
        <w:t>E</w:t>
      </w:r>
      <w:r w:rsidR="003140F1">
        <w:t>xperience in driving change in an organisation.</w:t>
      </w:r>
    </w:p>
    <w:p w14:paraId="0D5DA754" w14:textId="011BD77C" w:rsidR="003140F1" w:rsidRPr="003140F1" w:rsidRDefault="003140F1" w:rsidP="003140F1">
      <w:pPr>
        <w:pStyle w:val="Heading3"/>
        <w:numPr>
          <w:ilvl w:val="0"/>
          <w:numId w:val="0"/>
        </w:numPr>
        <w:ind w:left="720" w:hanging="720"/>
      </w:pPr>
      <w:r w:rsidRPr="002501A4">
        <w:t xml:space="preserve">Personal Attributes, Traits and Skills </w:t>
      </w:r>
    </w:p>
    <w:p w14:paraId="5CE8EA80" w14:textId="77777777" w:rsidR="003140F1" w:rsidRDefault="003140F1" w:rsidP="003140F1">
      <w:bookmarkStart w:id="5" w:name="_Hlk111806822"/>
      <w:r>
        <w:t>The successful candidate will hold the following personal attributes which may be assessed during the process</w:t>
      </w:r>
      <w:bookmarkEnd w:id="5"/>
      <w:r>
        <w:t xml:space="preserve">: </w:t>
      </w:r>
    </w:p>
    <w:p w14:paraId="6E79180C" w14:textId="10A697BB" w:rsidR="003140F1" w:rsidRPr="00044465" w:rsidRDefault="003140F1" w:rsidP="003140F1">
      <w:pPr>
        <w:pStyle w:val="ListParagraph"/>
        <w:numPr>
          <w:ilvl w:val="0"/>
          <w:numId w:val="13"/>
        </w:numPr>
        <w:spacing w:after="0"/>
        <w:rPr>
          <w:rFonts w:eastAsia="Times New Roman"/>
        </w:rPr>
      </w:pPr>
      <w:r>
        <w:t>Proven ability to build good relationships with stakeholders across government and industry</w:t>
      </w:r>
      <w:r w:rsidR="00B31B64">
        <w:t>.</w:t>
      </w:r>
    </w:p>
    <w:p w14:paraId="722B61AE" w14:textId="6B114590" w:rsidR="00DF4308" w:rsidRDefault="003140F1" w:rsidP="00376805">
      <w:pPr>
        <w:pStyle w:val="ListParagraph"/>
        <w:numPr>
          <w:ilvl w:val="0"/>
          <w:numId w:val="13"/>
        </w:numPr>
        <w:spacing w:after="0"/>
        <w:rPr>
          <w:rFonts w:eastAsia="Times New Roman"/>
        </w:rPr>
      </w:pPr>
      <w:r w:rsidRPr="00DF4308">
        <w:rPr>
          <w:rFonts w:eastAsia="Times New Roman"/>
        </w:rPr>
        <w:t xml:space="preserve">Commitment to equality, </w:t>
      </w:r>
      <w:proofErr w:type="gramStart"/>
      <w:r w:rsidRPr="00DF4308">
        <w:rPr>
          <w:rFonts w:eastAsia="Times New Roman"/>
        </w:rPr>
        <w:t>diversity</w:t>
      </w:r>
      <w:proofErr w:type="gramEnd"/>
      <w:r w:rsidRPr="00DF4308">
        <w:rPr>
          <w:rFonts w:eastAsia="Times New Roman"/>
        </w:rPr>
        <w:t xml:space="preserve"> and inclusion, with an understanding of how these can be progressed in an organisation such as the HIA</w:t>
      </w:r>
      <w:r w:rsidR="00B31B64">
        <w:rPr>
          <w:rFonts w:eastAsia="Times New Roman"/>
        </w:rPr>
        <w:t>.</w:t>
      </w:r>
    </w:p>
    <w:p w14:paraId="4DEF1F24" w14:textId="146B14FF" w:rsidR="003140F1" w:rsidRPr="00DF4308" w:rsidRDefault="003140F1" w:rsidP="00376805">
      <w:pPr>
        <w:pStyle w:val="ListParagraph"/>
        <w:numPr>
          <w:ilvl w:val="0"/>
          <w:numId w:val="13"/>
        </w:numPr>
        <w:spacing w:after="0"/>
        <w:rPr>
          <w:rFonts w:eastAsia="Times New Roman"/>
        </w:rPr>
      </w:pPr>
      <w:r w:rsidRPr="00DF4308">
        <w:rPr>
          <w:rFonts w:eastAsia="Times New Roman"/>
        </w:rPr>
        <w:t xml:space="preserve">Strong </w:t>
      </w:r>
      <w:r w:rsidR="00DF4308" w:rsidRPr="00DF4308">
        <w:rPr>
          <w:rFonts w:eastAsia="Times New Roman"/>
        </w:rPr>
        <w:t xml:space="preserve">Interpersonal </w:t>
      </w:r>
      <w:r w:rsidRPr="00DF4308">
        <w:rPr>
          <w:rFonts w:eastAsia="Times New Roman"/>
        </w:rPr>
        <w:t xml:space="preserve">skills to oversee future development of the organisation </w:t>
      </w:r>
      <w:r>
        <w:t>and ability to develop a positive workplace culture</w:t>
      </w:r>
      <w:r w:rsidR="00B31B64">
        <w:t>.</w:t>
      </w:r>
    </w:p>
    <w:p w14:paraId="127FF38A" w14:textId="77777777" w:rsidR="00B31B64" w:rsidRDefault="00B31B64" w:rsidP="00B31B64">
      <w:pPr>
        <w:spacing w:after="0"/>
        <w:rPr>
          <w:rFonts w:eastAsia="Times New Roman"/>
        </w:rPr>
      </w:pPr>
      <w:bookmarkStart w:id="6" w:name="_Hlk111785285"/>
    </w:p>
    <w:p w14:paraId="7C87E113" w14:textId="31A498A0" w:rsidR="003140F1" w:rsidRPr="00B31B64" w:rsidRDefault="003140F1" w:rsidP="00B31B64">
      <w:pPr>
        <w:spacing w:after="0"/>
        <w:rPr>
          <w:rFonts w:eastAsia="Times New Roman"/>
        </w:rPr>
      </w:pPr>
      <w:r w:rsidRPr="00B31B64">
        <w:rPr>
          <w:rFonts w:eastAsia="Times New Roman"/>
        </w:rPr>
        <w:t>The HIA are committed to a policy of equal opportunity and encourage applications under all nine grounds of the Employment Equality Act</w:t>
      </w:r>
      <w:r w:rsidR="00B31B64" w:rsidRPr="00B31B64">
        <w:rPr>
          <w:rFonts w:eastAsia="Times New Roman"/>
        </w:rPr>
        <w:t>.</w:t>
      </w:r>
    </w:p>
    <w:bookmarkEnd w:id="6"/>
    <w:p w14:paraId="030EAC45" w14:textId="77777777" w:rsidR="00E408F4" w:rsidRPr="00E408F4" w:rsidRDefault="00E408F4" w:rsidP="00E408F4"/>
    <w:p w14:paraId="4FE7AB5F" w14:textId="77777777" w:rsidR="00837A29" w:rsidRDefault="00837A29" w:rsidP="00837A29">
      <w:pPr>
        <w:pStyle w:val="Heading3"/>
        <w:numPr>
          <w:ilvl w:val="0"/>
          <w:numId w:val="0"/>
        </w:numPr>
        <w:spacing w:before="1"/>
        <w:ind w:left="720" w:hanging="720"/>
      </w:pPr>
      <w:r>
        <w:rPr>
          <w:color w:val="AA272E"/>
        </w:rPr>
        <w:t>Shortlisting</w:t>
      </w:r>
    </w:p>
    <w:p w14:paraId="05A64AB6" w14:textId="1CA02FB0" w:rsidR="00837A29" w:rsidRPr="009119C8" w:rsidRDefault="00837A29" w:rsidP="00837A29">
      <w:pPr>
        <w:rPr>
          <w:lang w:eastAsia="en-GB"/>
        </w:rPr>
      </w:pPr>
      <w:r>
        <w:rPr>
          <w:lang w:eastAsia="en-GB"/>
        </w:rPr>
        <w:t xml:space="preserve">A shortlisting exercise will be employed when assessing eligibility of applications. Eligible applications will be shortlisted according to how well the experience and skills as described by applicants match the requirements of the role of </w:t>
      </w:r>
      <w:r w:rsidR="00852229">
        <w:rPr>
          <w:lang w:eastAsia="en-GB"/>
        </w:rPr>
        <w:t>HR Lead</w:t>
      </w:r>
      <w:r>
        <w:rPr>
          <w:lang w:eastAsia="en-GB"/>
        </w:rPr>
        <w:t>.</w:t>
      </w:r>
    </w:p>
    <w:p w14:paraId="578CCA82" w14:textId="77777777" w:rsidR="00837A29" w:rsidRPr="009119C8" w:rsidRDefault="00837A29" w:rsidP="00837A29">
      <w:pPr>
        <w:rPr>
          <w:lang w:eastAsia="en-GB"/>
        </w:rPr>
      </w:pPr>
      <w:r>
        <w:rPr>
          <w:lang w:eastAsia="en-GB"/>
        </w:rPr>
        <w:t>The criteria for the shortlisting exercise will be based on the information as outlined in this Information Booklet. It is important that applicants consider the information contained in this Information Booklet in presenting their relevant qualification, skills and experience in their cover letter and CV.</w:t>
      </w:r>
    </w:p>
    <w:p w14:paraId="4F41C560" w14:textId="77777777" w:rsidR="00837A29" w:rsidRPr="009119C8" w:rsidRDefault="00837A29" w:rsidP="00837A29">
      <w:pPr>
        <w:rPr>
          <w:lang w:eastAsia="en-GB"/>
        </w:rPr>
      </w:pPr>
      <w:r>
        <w:rPr>
          <w:lang w:eastAsia="en-GB"/>
        </w:rPr>
        <w:t>The candidates whose applications, in the opinion of the shortlisting panel, appear best suited to the position will be shortlisted for interview.</w:t>
      </w:r>
    </w:p>
    <w:p w14:paraId="293DE026" w14:textId="77777777" w:rsidR="00837A29" w:rsidRDefault="00837A29" w:rsidP="00837A29">
      <w:pPr>
        <w:pStyle w:val="Heading3"/>
        <w:numPr>
          <w:ilvl w:val="0"/>
          <w:numId w:val="0"/>
        </w:numPr>
        <w:ind w:left="720" w:hanging="720"/>
      </w:pPr>
      <w:r>
        <w:rPr>
          <w:color w:val="AA272E"/>
        </w:rPr>
        <w:t>Interview</w:t>
      </w:r>
    </w:p>
    <w:p w14:paraId="45CCD757" w14:textId="77777777" w:rsidR="00837A29" w:rsidRDefault="00837A29" w:rsidP="00837A29">
      <w:pPr>
        <w:rPr>
          <w:lang w:eastAsia="en-GB"/>
        </w:rPr>
      </w:pPr>
      <w:r>
        <w:rPr>
          <w:lang w:eastAsia="en-GB"/>
        </w:rPr>
        <w:t>Shortlisted applicants will be invited to attend for an interview, which may include a competency- based interview and a presentation on a topic of relevance to the role.</w:t>
      </w:r>
    </w:p>
    <w:p w14:paraId="5E6DEDA9" w14:textId="77777777" w:rsidR="00837A29" w:rsidRDefault="00837A29" w:rsidP="00837A29">
      <w:pPr>
        <w:rPr>
          <w:lang w:eastAsia="en-GB"/>
        </w:rPr>
      </w:pPr>
      <w:r>
        <w:rPr>
          <w:lang w:eastAsia="en-GB"/>
        </w:rPr>
        <w:t>The Authority reserves the right to invite candidates to a second-round interview and to undergo further assessment, including the use of psychometric assessment if so required.</w:t>
      </w:r>
    </w:p>
    <w:p w14:paraId="3A434A0E" w14:textId="77777777" w:rsidR="00837A29" w:rsidRDefault="00837A29" w:rsidP="00837A29">
      <w:pPr>
        <w:spacing w:after="0"/>
      </w:pPr>
      <w:r>
        <w:br w:type="page"/>
      </w:r>
    </w:p>
    <w:p w14:paraId="427CD6E0" w14:textId="77777777" w:rsidR="00837A29" w:rsidRPr="001D622A" w:rsidRDefault="00837A29" w:rsidP="00837A29">
      <w:pPr>
        <w:pStyle w:val="Heading1"/>
        <w:ind w:left="720" w:hanging="720"/>
      </w:pPr>
      <w:bookmarkStart w:id="7" w:name="_Toc31616411"/>
      <w:r>
        <w:t>Conditions of Service</w:t>
      </w:r>
      <w:bookmarkEnd w:id="7"/>
    </w:p>
    <w:p w14:paraId="4A4C1668" w14:textId="371F808F" w:rsidR="00837A29" w:rsidRDefault="00837A29" w:rsidP="00837A29">
      <w:pPr>
        <w:pStyle w:val="Heading2"/>
      </w:pPr>
      <w:r>
        <w:t>Tenure</w:t>
      </w:r>
    </w:p>
    <w:p w14:paraId="0027F99F" w14:textId="44342B87" w:rsidR="00483395" w:rsidRPr="00483395" w:rsidRDefault="003365D8" w:rsidP="00483395">
      <w:r>
        <w:t>The position is a full-time position. The appointment is on a permanent basis as a public servant, subject to satisfactory completion of the specified probationary period.</w:t>
      </w:r>
    </w:p>
    <w:p w14:paraId="1A0DB181" w14:textId="77777777" w:rsidR="00837A29" w:rsidRDefault="00837A29" w:rsidP="00837A29">
      <w:pPr>
        <w:pStyle w:val="Heading2"/>
      </w:pPr>
      <w:bookmarkStart w:id="8" w:name="_Hlk36798908"/>
      <w:r>
        <w:t>Probation</w:t>
      </w:r>
    </w:p>
    <w:p w14:paraId="1A5F5EC8" w14:textId="77777777" w:rsidR="00837A29" w:rsidRPr="00C766FF" w:rsidRDefault="00837A29" w:rsidP="00837A29">
      <w:pPr>
        <w:spacing w:after="0"/>
      </w:pPr>
      <w:r w:rsidRPr="00E279AE">
        <w:t>The successful candidate must serve a probationary period which will be of twelve months duration. If during this period the candidate’s services are satisfactory as regards health, conduct and efficiency generally, the candidate can expect to be appointed on the completion of the twelve months. On the other hand, if the candidate’s service during this initial probation period is unsatisfactory, the candidate’s appointment can be terminated at any time; alternatively, the probationary period may be extended beyond the twelve months.</w:t>
      </w:r>
    </w:p>
    <w:bookmarkEnd w:id="8"/>
    <w:p w14:paraId="57C3EBFB" w14:textId="77777777" w:rsidR="00837A29" w:rsidRDefault="00837A29" w:rsidP="00837A29">
      <w:pPr>
        <w:pStyle w:val="Heading2"/>
      </w:pPr>
      <w:r>
        <w:t>Salary and Payment Arrangements</w:t>
      </w:r>
    </w:p>
    <w:p w14:paraId="52CC2D5E" w14:textId="2F8C53E9" w:rsidR="00404C65" w:rsidRDefault="00837A29" w:rsidP="00837A29">
      <w:r>
        <w:t xml:space="preserve">The salary scale for this position is at the level of </w:t>
      </w:r>
      <w:r w:rsidR="00CC1F05">
        <w:t>Higher Executive Officer.</w:t>
      </w:r>
      <w:r>
        <w:t xml:space="preserve"> </w:t>
      </w:r>
    </w:p>
    <w:p w14:paraId="485258C9" w14:textId="3FB46CE4" w:rsidR="00404C65" w:rsidRDefault="00837A29" w:rsidP="00837A29">
      <w:r>
        <w:t>The scale for a Class A PRSI rate is</w:t>
      </w:r>
      <w:r w:rsidR="00404C65">
        <w:t xml:space="preserve"> </w:t>
      </w:r>
    </w:p>
    <w:p w14:paraId="07C249F6" w14:textId="1566933D" w:rsidR="007B797E" w:rsidRDefault="00DF4308" w:rsidP="00837A29">
      <w:r>
        <w:t>€</w:t>
      </w:r>
      <w:r w:rsidR="007B797E">
        <w:t>52,897 €54,443 €55,986 €57,529 €59,077 €60,619 €62,164 €64,394¹ €66,619²</w:t>
      </w:r>
    </w:p>
    <w:p w14:paraId="15028790" w14:textId="77777777" w:rsidR="00404C65" w:rsidRPr="00404C65" w:rsidRDefault="00404C65" w:rsidP="00837A29">
      <w:pPr>
        <w:rPr>
          <w:sz w:val="16"/>
          <w:szCs w:val="16"/>
        </w:rPr>
      </w:pPr>
      <w:r w:rsidRPr="00404C65">
        <w:rPr>
          <w:sz w:val="16"/>
          <w:szCs w:val="16"/>
        </w:rPr>
        <w:t xml:space="preserve"> </w:t>
      </w:r>
      <w:r w:rsidRPr="00404C65">
        <w:rPr>
          <w:sz w:val="16"/>
          <w:szCs w:val="16"/>
          <w:vertAlign w:val="superscript"/>
        </w:rPr>
        <w:t>1</w:t>
      </w:r>
      <w:r w:rsidR="00483395" w:rsidRPr="00404C65">
        <w:rPr>
          <w:sz w:val="16"/>
          <w:szCs w:val="16"/>
        </w:rPr>
        <w:t xml:space="preserve"> </w:t>
      </w:r>
      <w:r w:rsidR="00837A29" w:rsidRPr="00404C65">
        <w:rPr>
          <w:i/>
          <w:iCs/>
          <w:sz w:val="16"/>
          <w:szCs w:val="16"/>
        </w:rPr>
        <w:t xml:space="preserve">after 3 years satisfactory service on the maximum of the scale and </w:t>
      </w:r>
      <w:proofErr w:type="gramStart"/>
      <w:r w:rsidR="00837A29" w:rsidRPr="00404C65">
        <w:rPr>
          <w:i/>
          <w:iCs/>
          <w:sz w:val="16"/>
          <w:szCs w:val="16"/>
        </w:rPr>
        <w:t xml:space="preserve">to </w:t>
      </w:r>
      <w:r w:rsidR="00483395" w:rsidRPr="00404C65">
        <w:rPr>
          <w:i/>
          <w:iCs/>
          <w:sz w:val="16"/>
          <w:szCs w:val="16"/>
        </w:rPr>
        <w:t xml:space="preserve"> </w:t>
      </w:r>
      <w:r w:rsidRPr="00404C65">
        <w:rPr>
          <w:i/>
          <w:iCs/>
          <w:sz w:val="16"/>
          <w:szCs w:val="16"/>
          <w:vertAlign w:val="superscript"/>
        </w:rPr>
        <w:t>2</w:t>
      </w:r>
      <w:proofErr w:type="gramEnd"/>
      <w:r w:rsidRPr="00404C65">
        <w:rPr>
          <w:i/>
          <w:iCs/>
          <w:sz w:val="16"/>
          <w:szCs w:val="16"/>
        </w:rPr>
        <w:t xml:space="preserve"> </w:t>
      </w:r>
      <w:r w:rsidR="00837A29" w:rsidRPr="00404C65">
        <w:rPr>
          <w:i/>
          <w:iCs/>
          <w:sz w:val="16"/>
          <w:szCs w:val="16"/>
        </w:rPr>
        <w:t>after 6 years satisfactory service on the maximum</w:t>
      </w:r>
      <w:r w:rsidR="00837A29" w:rsidRPr="00404C65">
        <w:rPr>
          <w:sz w:val="16"/>
          <w:szCs w:val="16"/>
        </w:rPr>
        <w:t>.</w:t>
      </w:r>
    </w:p>
    <w:p w14:paraId="1240E769" w14:textId="29D62320" w:rsidR="00837A29" w:rsidRDefault="00837A29" w:rsidP="00814EA6">
      <w:pPr>
        <w:spacing w:after="120" w:line="276" w:lineRule="auto"/>
      </w:pPr>
      <w:r>
        <w:t>Note:</w:t>
      </w:r>
      <w:r w:rsidR="00730234" w:rsidRPr="00730234">
        <w:t xml:space="preserve"> </w:t>
      </w:r>
      <w:r w:rsidR="00730234" w:rsidRPr="0076395C">
        <w:t xml:space="preserve">Entry will be at the minimum of the scale and may be adjusted from time to time in line with Government pay policy. </w:t>
      </w:r>
      <w:r>
        <w:t xml:space="preserve"> </w:t>
      </w:r>
      <w:r w:rsidR="00730234">
        <w:t>D</w:t>
      </w:r>
      <w:r>
        <w:t xml:space="preserve">ifferent pay and conditions may apply if, immediately prior to appointment, the successful candidate is already a serving civil or public servant. </w:t>
      </w:r>
    </w:p>
    <w:p w14:paraId="5EFA57D9" w14:textId="170E54C0" w:rsidR="00837A29" w:rsidRDefault="00837A29" w:rsidP="00837A29">
      <w:r>
        <w:t xml:space="preserve">Payment will be made </w:t>
      </w:r>
      <w:r w:rsidR="00730234">
        <w:t xml:space="preserve">monthly </w:t>
      </w:r>
      <w:r>
        <w:t>in arrears by Electronic Fund Transfer (EFT) into a bank account of the staff member’s choice. Payment cannot be made until a bank account number and bank sort code has been supplied to the Authority. Statutory deductions from salary will be made as appropriate.</w:t>
      </w:r>
    </w:p>
    <w:p w14:paraId="4508FC38" w14:textId="378B799F" w:rsidR="00837A29" w:rsidRDefault="00837A29" w:rsidP="00837A29">
      <w:r>
        <w:t xml:space="preserve">A staff member appointed to the post of </w:t>
      </w:r>
      <w:r w:rsidR="00CC1F05">
        <w:t>HR</w:t>
      </w:r>
      <w:r w:rsidR="00852229">
        <w:t xml:space="preserve"> Lead</w:t>
      </w:r>
      <w:r>
        <w:t xml:space="preserve"> will agree that any overpayment of salary or of travel and subsistence may be deducted from future salary payments due in accordance with the Payment of Wages Act 1991. Any such overpayment will be notified to the staff member in accordance with agreed internal procedures.</w:t>
      </w:r>
    </w:p>
    <w:p w14:paraId="04C0C8C3" w14:textId="77777777" w:rsidR="00837A29" w:rsidRDefault="00837A29" w:rsidP="00837A29">
      <w:pPr>
        <w:pStyle w:val="Heading2"/>
      </w:pPr>
      <w:r>
        <w:t xml:space="preserve"> Location</w:t>
      </w:r>
    </w:p>
    <w:p w14:paraId="72E2A133" w14:textId="6126B3DE" w:rsidR="00837A29" w:rsidRDefault="00837A29" w:rsidP="00837A29">
      <w:r>
        <w:t xml:space="preserve">This role is based in the Authority’s office at </w:t>
      </w:r>
      <w:r w:rsidRPr="00E279AE">
        <w:t>Beaux Lane House, Mercer Street Lower, Saint Peter's, Dublin 2</w:t>
      </w:r>
      <w:r>
        <w:t>. The Authority reserves the right, at its discretion, to change the primary location to any other place within Ireland.</w:t>
      </w:r>
    </w:p>
    <w:p w14:paraId="3E8E817D" w14:textId="5B98C8CF" w:rsidR="00B31B64" w:rsidRDefault="00B31B64" w:rsidP="00B31B64">
      <w:pPr>
        <w:pStyle w:val="NormalWeb"/>
        <w:shd w:val="clear" w:color="auto" w:fill="FFFFFF"/>
        <w:spacing w:before="0" w:beforeAutospacing="0" w:after="0" w:afterAutospacing="0"/>
        <w:jc w:val="both"/>
        <w:rPr>
          <w:rFonts w:ascii="Arial" w:eastAsia="Calibri" w:hAnsi="Arial"/>
          <w:sz w:val="20"/>
          <w:szCs w:val="22"/>
          <w:lang w:eastAsia="en-US"/>
        </w:rPr>
      </w:pPr>
      <w:r w:rsidRPr="00B31B64">
        <w:rPr>
          <w:rFonts w:ascii="Arial" w:eastAsia="Calibri" w:hAnsi="Arial"/>
          <w:sz w:val="20"/>
          <w:szCs w:val="22"/>
          <w:lang w:eastAsia="en-US"/>
        </w:rPr>
        <w:t>Whilst all staff are contracted to work in Dublin 2, employees can avail of remote working options</w:t>
      </w:r>
      <w:r>
        <w:rPr>
          <w:rFonts w:ascii="Arial" w:eastAsia="Calibri" w:hAnsi="Arial"/>
          <w:sz w:val="20"/>
          <w:szCs w:val="22"/>
          <w:lang w:eastAsia="en-US"/>
        </w:rPr>
        <w:t>, subject to and i</w:t>
      </w:r>
      <w:r w:rsidRPr="00B31B64">
        <w:rPr>
          <w:rFonts w:ascii="Arial" w:eastAsia="Calibri" w:hAnsi="Arial"/>
          <w:sz w:val="20"/>
          <w:szCs w:val="22"/>
          <w:lang w:eastAsia="en-US"/>
        </w:rPr>
        <w:t>n line with Public Sector guidance, a more permanent agile/ hybrid working policy is being developed to formalise how we work in the HIA in the future.</w:t>
      </w:r>
    </w:p>
    <w:p w14:paraId="378A6DE8" w14:textId="77777777" w:rsidR="00B31B64" w:rsidRDefault="00B31B64" w:rsidP="000B5007">
      <w:pPr>
        <w:pStyle w:val="NormalWeb"/>
        <w:shd w:val="clear" w:color="auto" w:fill="FFFFFF"/>
        <w:spacing w:before="0" w:beforeAutospacing="0" w:after="0" w:afterAutospacing="0"/>
        <w:jc w:val="both"/>
        <w:rPr>
          <w:rFonts w:ascii="Arial" w:eastAsia="Calibri" w:hAnsi="Arial"/>
          <w:sz w:val="20"/>
          <w:szCs w:val="22"/>
          <w:lang w:eastAsia="en-US"/>
        </w:rPr>
      </w:pPr>
    </w:p>
    <w:p w14:paraId="126F42A7" w14:textId="41E11A0C" w:rsidR="00B31B64" w:rsidRDefault="000B5007" w:rsidP="000B5007">
      <w:pPr>
        <w:pStyle w:val="NormalWeb"/>
        <w:shd w:val="clear" w:color="auto" w:fill="FFFFFF"/>
        <w:spacing w:before="0" w:beforeAutospacing="0" w:after="0" w:afterAutospacing="0"/>
        <w:jc w:val="both"/>
      </w:pPr>
      <w:r w:rsidRPr="000B5007">
        <w:rPr>
          <w:rFonts w:ascii="Arial" w:eastAsia="Calibri" w:hAnsi="Arial"/>
          <w:sz w:val="20"/>
          <w:szCs w:val="22"/>
          <w:lang w:eastAsia="en-US"/>
        </w:rPr>
        <w:t>We have put a significant number of supports in place to make the experience when working remotely as seamless as possible</w:t>
      </w:r>
      <w:r w:rsidR="00B31B64">
        <w:rPr>
          <w:rFonts w:ascii="Arial" w:eastAsia="Calibri" w:hAnsi="Arial"/>
          <w:sz w:val="20"/>
          <w:szCs w:val="22"/>
          <w:lang w:eastAsia="en-US"/>
        </w:rPr>
        <w:t xml:space="preserve">, with </w:t>
      </w:r>
      <w:r w:rsidRPr="000B5007">
        <w:rPr>
          <w:rFonts w:ascii="Arial" w:eastAsia="Calibri" w:hAnsi="Arial"/>
          <w:sz w:val="20"/>
          <w:szCs w:val="22"/>
          <w:lang w:eastAsia="en-US"/>
        </w:rPr>
        <w:t>a modern IT infrastructure to help us in collaborating virtually with our colleagues, we provide colleagues with the equipment they will need, and have implemented new ways of working to keep our people connected.</w:t>
      </w:r>
      <w:r w:rsidR="00B31B64" w:rsidRPr="00B31B64">
        <w:t xml:space="preserve"> </w:t>
      </w:r>
    </w:p>
    <w:p w14:paraId="7B4F22DA" w14:textId="77777777" w:rsidR="00837A29" w:rsidRDefault="00837A29" w:rsidP="00837A29">
      <w:pPr>
        <w:pStyle w:val="Heading2"/>
      </w:pPr>
      <w:r>
        <w:t xml:space="preserve">Working Week </w:t>
      </w:r>
    </w:p>
    <w:p w14:paraId="25F8F2D1" w14:textId="35CC67DB" w:rsidR="00837A29" w:rsidRPr="002979A7" w:rsidRDefault="00837A29" w:rsidP="00837A29">
      <w:r w:rsidRPr="002979A7">
        <w:t xml:space="preserve">Hours of attendance will be as fixed from time to time but will amount to not less than </w:t>
      </w:r>
      <w:r w:rsidRPr="000B5007">
        <w:t>4</w:t>
      </w:r>
      <w:r w:rsidR="000B5007" w:rsidRPr="000B5007">
        <w:t>1</w:t>
      </w:r>
      <w:r w:rsidRPr="000B5007">
        <w:t>.25</w:t>
      </w:r>
      <w:r w:rsidRPr="002979A7">
        <w:t xml:space="preserve"> hours gross per week </w:t>
      </w:r>
      <w:r w:rsidRPr="006B6A2D">
        <w:t>(3</w:t>
      </w:r>
      <w:r w:rsidR="000B5007" w:rsidRPr="006B6A2D">
        <w:t>5</w:t>
      </w:r>
      <w:r w:rsidRPr="006B6A2D">
        <w:t xml:space="preserve"> hours net).</w:t>
      </w:r>
      <w:r w:rsidRPr="002979A7">
        <w:t xml:space="preserve"> You will be required to work such additional hours from time to time as may be reasonable and necessary for the proper performance of your duties subject to the limits set down in the working time regulations. The rate of remuneration payable covers any extra attendance liability that may arise from time to time</w:t>
      </w:r>
      <w:r>
        <w:t>.</w:t>
      </w:r>
    </w:p>
    <w:p w14:paraId="5A880BDF" w14:textId="77777777" w:rsidR="00837A29" w:rsidRDefault="00837A29" w:rsidP="00837A29">
      <w:pPr>
        <w:pStyle w:val="Heading2"/>
      </w:pPr>
      <w:r>
        <w:t>Annual Leave</w:t>
      </w:r>
    </w:p>
    <w:p w14:paraId="303C62F3" w14:textId="77777777" w:rsidR="00837A29" w:rsidRDefault="00837A29" w:rsidP="00837A29">
      <w:r w:rsidRPr="00493B22">
        <w:t xml:space="preserve">The annual leave allowance for this post </w:t>
      </w:r>
      <w:r w:rsidRPr="002979A7">
        <w:t>will be 30 working days per</w:t>
      </w:r>
      <w:r w:rsidRPr="00493B22">
        <w:t xml:space="preserve"> annum (on a pro rata basis) to be taken at a time or times convenient to </w:t>
      </w:r>
      <w:r>
        <w:t>the Authority</w:t>
      </w:r>
      <w:r w:rsidRPr="00493B22">
        <w:t>.</w:t>
      </w:r>
    </w:p>
    <w:p w14:paraId="59C0E301" w14:textId="77777777" w:rsidR="00837A29" w:rsidRDefault="00837A29" w:rsidP="00837A29">
      <w:pPr>
        <w:pStyle w:val="Heading2"/>
      </w:pPr>
      <w:r>
        <w:t>The Organisation of Working Time Act, 1997</w:t>
      </w:r>
    </w:p>
    <w:p w14:paraId="57D18BCE" w14:textId="77777777" w:rsidR="00837A29" w:rsidRDefault="00837A29" w:rsidP="00837A29">
      <w:r w:rsidRPr="00493B22">
        <w:t>The terms of the Organisation of Working Time Act, 1997 will apply, where appropriate, to this appointment.</w:t>
      </w:r>
    </w:p>
    <w:p w14:paraId="1CED5400" w14:textId="77777777" w:rsidR="00837A29" w:rsidRDefault="00837A29" w:rsidP="00837A29">
      <w:pPr>
        <w:pStyle w:val="Heading2"/>
      </w:pPr>
      <w:r>
        <w:t xml:space="preserve">Sick Leave </w:t>
      </w:r>
    </w:p>
    <w:p w14:paraId="57BC48A2" w14:textId="77777777" w:rsidR="00837A29" w:rsidRPr="00BE09AE" w:rsidRDefault="00837A29" w:rsidP="00837A29">
      <w:r w:rsidRPr="00BB6C8A">
        <w:t>Payment for absences through illness, during properly certified</w:t>
      </w:r>
      <w:r w:rsidRPr="00274F82">
        <w:t xml:space="preserve"> sick absence, provided there is no evidence of permanent disability for service </w:t>
      </w:r>
      <w:r>
        <w:t xml:space="preserve">may be made </w:t>
      </w:r>
      <w:r w:rsidRPr="00274F82">
        <w:t xml:space="preserve">in accordance with the provisions of the </w:t>
      </w:r>
      <w:r>
        <w:t>Authority</w:t>
      </w:r>
      <w:r w:rsidRPr="00274F82">
        <w:t>’s sick leave scheme</w:t>
      </w:r>
      <w:r>
        <w:t xml:space="preserve">. </w:t>
      </w:r>
      <w:r w:rsidRPr="00C308AE">
        <w:t>These sick leave arrangements are subject to any changes arising in the terms and conditions of sick</w:t>
      </w:r>
      <w:r w:rsidRPr="00BE09AE">
        <w:t xml:space="preserve"> leave in respect of the public service generally.</w:t>
      </w:r>
    </w:p>
    <w:p w14:paraId="6D3B5760" w14:textId="77777777" w:rsidR="00837A29" w:rsidRPr="00A520B6" w:rsidRDefault="00837A29" w:rsidP="00837A29">
      <w:r>
        <w:t>Staff members</w:t>
      </w:r>
      <w:r w:rsidRPr="00FC7389">
        <w:t xml:space="preserve"> </w:t>
      </w:r>
      <w:r w:rsidRPr="00651D5F">
        <w:t>paying the Class A rate of PRSI will be required to sign a</w:t>
      </w:r>
      <w:r w:rsidRPr="005E47E6">
        <w:t xml:space="preserve"> mandate</w:t>
      </w:r>
      <w:r w:rsidRPr="008B025C">
        <w:rPr>
          <w:lang w:val="en-GB"/>
        </w:rPr>
        <w:t xml:space="preserve"> authorising</w:t>
      </w:r>
      <w:r w:rsidRPr="00A520B6">
        <w:t xml:space="preserve"> the Department of Social Protection to pay any benefits due under the Social Welfare Acts direct to the </w:t>
      </w:r>
      <w:r>
        <w:t>Authority.</w:t>
      </w:r>
      <w:r w:rsidRPr="00EE6B5E">
        <w:t xml:space="preserve"> Payment of salary during illness will be subject to the </w:t>
      </w:r>
      <w:r>
        <w:t>staff member</w:t>
      </w:r>
      <w:r w:rsidRPr="00FC7389">
        <w:t xml:space="preserve"> </w:t>
      </w:r>
      <w:r w:rsidRPr="00651D5F">
        <w:t>making the necessary claims</w:t>
      </w:r>
      <w:r w:rsidRPr="005E47E6">
        <w:t xml:space="preserve"> for social insurance benefit to the Department of Social </w:t>
      </w:r>
      <w:r w:rsidRPr="008B025C">
        <w:t>Protection</w:t>
      </w:r>
      <w:r w:rsidRPr="00A520B6">
        <w:t xml:space="preserve"> within the required time limits.</w:t>
      </w:r>
    </w:p>
    <w:p w14:paraId="1893E6A1" w14:textId="614F6D0E" w:rsidR="00837A29" w:rsidRDefault="00837A29" w:rsidP="00837A29">
      <w:pPr>
        <w:pStyle w:val="Heading2"/>
      </w:pPr>
      <w:r>
        <w:t xml:space="preserve">SUPERANNUATION and Retirement </w:t>
      </w:r>
    </w:p>
    <w:p w14:paraId="4CD1CACD" w14:textId="65A9E5E3" w:rsidR="00B665BC" w:rsidRDefault="00B665BC" w:rsidP="00837A29">
      <w:pPr>
        <w:autoSpaceDE w:val="0"/>
        <w:autoSpaceDN w:val="0"/>
        <w:adjustRightInd w:val="0"/>
        <w:rPr>
          <w:rFonts w:cs="Arial"/>
          <w:color w:val="000000"/>
          <w:lang w:eastAsia="en-IE"/>
        </w:rPr>
      </w:pPr>
      <w:r>
        <w:t>The HIA is a Public Service Body and a relevant authority for the Single Public Service Pension Scheme (SPS). Persons employed by the HIAA will become members of the SPS. Where an employee was already a member of a pre-2013 public service pension scheme, that scheme may apply subject to certain conditions. More information in respect of the Scheme can be found on the website www.singlepensionscheme.gov.ie</w:t>
      </w:r>
    </w:p>
    <w:p w14:paraId="7D035F90" w14:textId="1547A5CD" w:rsidR="00837A29" w:rsidRDefault="00837A29" w:rsidP="00837A29">
      <w:pPr>
        <w:autoSpaceDE w:val="0"/>
        <w:autoSpaceDN w:val="0"/>
        <w:adjustRightInd w:val="0"/>
      </w:pPr>
      <w:r w:rsidRPr="00656F4C">
        <w:rPr>
          <w:rFonts w:cs="Arial"/>
          <w:color w:val="000000"/>
          <w:lang w:eastAsia="en-IE"/>
        </w:rPr>
        <w:t xml:space="preserve">The appointee will be offered the appropriate superannuation terms and conditions as prevailing in the Public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8" w:history="1">
        <w:r w:rsidRPr="00031864">
          <w:rPr>
            <w:rStyle w:val="Hyperlink"/>
          </w:rPr>
          <w:t>https://singlepensionscheme.gov.ie/</w:t>
        </w:r>
      </w:hyperlink>
      <w:r>
        <w:t xml:space="preserve"> </w:t>
      </w:r>
    </w:p>
    <w:p w14:paraId="78B0547A" w14:textId="1FA5D691" w:rsidR="00E54EE7" w:rsidRDefault="00E54EE7" w:rsidP="00837A29">
      <w:pPr>
        <w:autoSpaceDE w:val="0"/>
        <w:autoSpaceDN w:val="0"/>
        <w:adjustRightInd w:val="0"/>
      </w:pPr>
    </w:p>
    <w:p w14:paraId="38253119" w14:textId="05D95D4F" w:rsidR="00E54EE7" w:rsidRDefault="00E54EE7" w:rsidP="00837A29">
      <w:pPr>
        <w:autoSpaceDE w:val="0"/>
        <w:autoSpaceDN w:val="0"/>
        <w:adjustRightInd w:val="0"/>
      </w:pPr>
    </w:p>
    <w:p w14:paraId="7EDD4F46" w14:textId="381778AD" w:rsidR="00E54EE7" w:rsidRDefault="00E54EE7" w:rsidP="00837A29">
      <w:pPr>
        <w:autoSpaceDE w:val="0"/>
        <w:autoSpaceDN w:val="0"/>
        <w:adjustRightInd w:val="0"/>
      </w:pPr>
    </w:p>
    <w:p w14:paraId="777D6607" w14:textId="77777777" w:rsidR="00E54EE7" w:rsidRDefault="00E54EE7" w:rsidP="00837A29">
      <w:pPr>
        <w:autoSpaceDE w:val="0"/>
        <w:autoSpaceDN w:val="0"/>
        <w:adjustRightInd w:val="0"/>
      </w:pPr>
    </w:p>
    <w:p w14:paraId="6148920A" w14:textId="77777777" w:rsidR="00E54EE7" w:rsidRPr="00656F4C" w:rsidRDefault="00E54EE7" w:rsidP="00837A29">
      <w:pPr>
        <w:autoSpaceDE w:val="0"/>
        <w:autoSpaceDN w:val="0"/>
        <w:adjustRightInd w:val="0"/>
        <w:rPr>
          <w:rFonts w:cs="Arial"/>
          <w:color w:val="000000"/>
          <w:lang w:eastAsia="en-IE"/>
        </w:rPr>
      </w:pPr>
    </w:p>
    <w:p w14:paraId="0576168B" w14:textId="77777777" w:rsidR="00837A29" w:rsidRPr="0036300D" w:rsidRDefault="00837A29" w:rsidP="00837A29">
      <w:pPr>
        <w:autoSpaceDE w:val="0"/>
        <w:autoSpaceDN w:val="0"/>
        <w:adjustRightInd w:val="0"/>
        <w:rPr>
          <w:rFonts w:cs="Arial"/>
          <w:color w:val="000000"/>
          <w:lang w:eastAsia="en-IE"/>
        </w:rPr>
      </w:pPr>
      <w:r w:rsidRPr="00656F4C">
        <w:rPr>
          <w:rFonts w:cs="Arial"/>
          <w:color w:val="000000"/>
          <w:lang w:eastAsia="en-IE"/>
        </w:rPr>
        <w:t>The key provisions attaching to membership of the Single Scheme are as follows:</w:t>
      </w:r>
    </w:p>
    <w:p w14:paraId="1E4B9675" w14:textId="77777777" w:rsidR="00837A29" w:rsidRPr="0036300D" w:rsidRDefault="00837A29" w:rsidP="00837A29">
      <w:pPr>
        <w:pStyle w:val="Heading3"/>
        <w:numPr>
          <w:ilvl w:val="0"/>
          <w:numId w:val="0"/>
        </w:numPr>
        <w:rPr>
          <w:rFonts w:cs="Arial"/>
          <w:lang w:eastAsia="en-IE"/>
        </w:rPr>
      </w:pPr>
      <w:bookmarkStart w:id="9" w:name="_Toc485824729"/>
      <w:bookmarkStart w:id="10" w:name="_Toc491181644"/>
      <w:bookmarkStart w:id="11" w:name="_Toc491348968"/>
      <w:r w:rsidRPr="0036300D">
        <w:rPr>
          <w:rFonts w:cs="Arial"/>
          <w:lang w:eastAsia="en-IE"/>
        </w:rPr>
        <w:t>Pensionable Age</w:t>
      </w:r>
      <w:bookmarkEnd w:id="9"/>
      <w:bookmarkEnd w:id="10"/>
      <w:bookmarkEnd w:id="11"/>
      <w:r w:rsidRPr="0036300D">
        <w:rPr>
          <w:rFonts w:cs="Arial"/>
          <w:lang w:eastAsia="en-IE"/>
        </w:rPr>
        <w:t xml:space="preserve"> </w:t>
      </w:r>
    </w:p>
    <w:p w14:paraId="54D7D6AD"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 xml:space="preserve">The minimum age at which pension is payable is </w:t>
      </w:r>
      <w:r w:rsidRPr="00FF4766">
        <w:rPr>
          <w:rFonts w:cs="Arial"/>
          <w:color w:val="000000"/>
          <w:lang w:eastAsia="en-IE"/>
        </w:rPr>
        <w:t xml:space="preserve">at </w:t>
      </w:r>
      <w:r w:rsidRPr="006B6A2D">
        <w:rPr>
          <w:rFonts w:cs="Arial"/>
          <w:color w:val="000000"/>
          <w:lang w:eastAsia="en-IE"/>
        </w:rPr>
        <w:t>present 66 years, rising to 67 on 1 January 2021 and 68 on 1 January 2028 in line with Contributory State Pension qualifying age changes. A constraint on pension size for</w:t>
      </w:r>
      <w:r w:rsidRPr="00FF4766">
        <w:rPr>
          <w:rFonts w:cs="Arial"/>
          <w:color w:val="000000"/>
          <w:lang w:eastAsia="en-IE"/>
        </w:rPr>
        <w:t xml:space="preserve"> most members is that they must retire on reaching age 70 years</w:t>
      </w:r>
      <w:r>
        <w:rPr>
          <w:rFonts w:cs="Arial"/>
          <w:color w:val="000000"/>
          <w:lang w:eastAsia="en-IE"/>
        </w:rPr>
        <w:t>.</w:t>
      </w:r>
    </w:p>
    <w:p w14:paraId="77539252" w14:textId="77777777" w:rsidR="00837A29" w:rsidRPr="0036300D" w:rsidRDefault="00837A29" w:rsidP="00837A29">
      <w:pPr>
        <w:pStyle w:val="Heading3"/>
        <w:numPr>
          <w:ilvl w:val="0"/>
          <w:numId w:val="0"/>
        </w:numPr>
        <w:rPr>
          <w:rFonts w:cs="Arial"/>
          <w:lang w:eastAsia="en-IE"/>
        </w:rPr>
      </w:pPr>
      <w:bookmarkStart w:id="12" w:name="_Toc485824731"/>
      <w:bookmarkStart w:id="13" w:name="_Toc491181646"/>
      <w:bookmarkStart w:id="14" w:name="_Toc491348970"/>
      <w:r w:rsidRPr="0036300D">
        <w:rPr>
          <w:rFonts w:cs="Arial"/>
          <w:lang w:eastAsia="en-IE"/>
        </w:rPr>
        <w:t>Pension Abatement</w:t>
      </w:r>
      <w:bookmarkEnd w:id="12"/>
      <w:bookmarkEnd w:id="13"/>
      <w:bookmarkEnd w:id="14"/>
      <w:r w:rsidRPr="0036300D">
        <w:rPr>
          <w:rFonts w:cs="Arial"/>
          <w:lang w:eastAsia="en-IE"/>
        </w:rPr>
        <w:t xml:space="preserve"> </w:t>
      </w:r>
    </w:p>
    <w:p w14:paraId="5C214E12"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 xml:space="preserve">If the appointee has previously been employed in the Civil or Public Service and is in receipt of a pension from the Civil or Public Service or where a Civil/Public Service pension comes into payment during his/her re-employment that pension will be subject to abatement in accordance with the Public Service Pensions (Single Scheme and Other Provisions) Act 2012. </w:t>
      </w:r>
    </w:p>
    <w:p w14:paraId="04BCF32A"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 xml:space="preserve">If the appointee was previously employed in the Civil Service and awarded a pension under voluntary early retirement arrangements (other than the Incentivised Scheme of Early Retirement (ISER), Department of Health Circular 7/2010 VER/VRS or the Department of Environment, Community &amp; Local Government Circular Letter LG (P) 06/2013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5FC957F1" w14:textId="77777777" w:rsidR="00837A29" w:rsidRPr="0036300D" w:rsidRDefault="00837A29" w:rsidP="00837A29">
      <w:pPr>
        <w:pStyle w:val="Heading3"/>
        <w:numPr>
          <w:ilvl w:val="0"/>
          <w:numId w:val="0"/>
        </w:numPr>
        <w:rPr>
          <w:rFonts w:cs="Arial"/>
          <w:lang w:eastAsia="en-IE"/>
        </w:rPr>
      </w:pPr>
      <w:bookmarkStart w:id="15" w:name="_Toc485824732"/>
      <w:bookmarkStart w:id="16" w:name="_Toc491181647"/>
      <w:bookmarkStart w:id="17" w:name="_Toc491348971"/>
      <w:r w:rsidRPr="0036300D">
        <w:rPr>
          <w:rFonts w:cs="Arial"/>
          <w:lang w:eastAsia="en-IE"/>
        </w:rPr>
        <w:t>Ill-Health Retirement</w:t>
      </w:r>
      <w:bookmarkEnd w:id="15"/>
      <w:bookmarkEnd w:id="16"/>
      <w:bookmarkEnd w:id="17"/>
      <w:r w:rsidRPr="0036300D">
        <w:rPr>
          <w:rFonts w:cs="Arial"/>
          <w:lang w:eastAsia="en-IE"/>
        </w:rPr>
        <w:t xml:space="preserve"> </w:t>
      </w:r>
    </w:p>
    <w:p w14:paraId="4A3F8F8B"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 xml:space="preserve">For an individual who has retired from a Civil/Public Service body on the grounds of ill-Health his/her pension from that employment may be subject to review in accordance with the rules of ill-Health retirement within the pension scheme of that employment. </w:t>
      </w:r>
    </w:p>
    <w:p w14:paraId="03729CEB" w14:textId="77777777" w:rsidR="00837A29" w:rsidRPr="0036300D" w:rsidRDefault="00837A29" w:rsidP="00837A29">
      <w:pPr>
        <w:pStyle w:val="Heading3"/>
        <w:numPr>
          <w:ilvl w:val="0"/>
          <w:numId w:val="0"/>
        </w:numPr>
        <w:rPr>
          <w:rFonts w:cs="Arial"/>
          <w:lang w:eastAsia="en-IE"/>
        </w:rPr>
      </w:pPr>
      <w:bookmarkStart w:id="18" w:name="_Toc485824733"/>
      <w:bookmarkStart w:id="19" w:name="_Toc491181648"/>
      <w:bookmarkStart w:id="20" w:name="_Toc491348972"/>
      <w:r w:rsidRPr="0036300D">
        <w:rPr>
          <w:rFonts w:cs="Arial"/>
          <w:lang w:eastAsia="en-IE"/>
        </w:rPr>
        <w:t xml:space="preserve">Pension Treatment </w:t>
      </w:r>
      <w:r>
        <w:rPr>
          <w:rFonts w:cs="Arial"/>
          <w:lang w:eastAsia="en-IE"/>
        </w:rPr>
        <w:t>o</w:t>
      </w:r>
      <w:r w:rsidRPr="0036300D">
        <w:rPr>
          <w:rFonts w:cs="Arial"/>
          <w:lang w:eastAsia="en-IE"/>
        </w:rPr>
        <w:t>f Existing Public Servants</w:t>
      </w:r>
      <w:bookmarkEnd w:id="18"/>
      <w:bookmarkEnd w:id="19"/>
      <w:bookmarkEnd w:id="20"/>
      <w:r w:rsidRPr="0036300D">
        <w:rPr>
          <w:rFonts w:cs="Arial"/>
          <w:lang w:eastAsia="en-IE"/>
        </w:rPr>
        <w:t xml:space="preserve"> </w:t>
      </w:r>
    </w:p>
    <w:p w14:paraId="5EFA998B"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 xml:space="preserve">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However, the key exception case (in the context of this competition and generally) is that </w:t>
      </w:r>
      <w:r w:rsidRPr="00E9727C">
        <w:rPr>
          <w:rFonts w:cs="Arial"/>
          <w:bCs/>
          <w:color w:val="000000"/>
          <w:lang w:eastAsia="en-IE"/>
        </w:rPr>
        <w:t>a successful candidate who has worked in a pensionable (non-single scheme terms) capacity in the public service within 26 weeks of taking up appointment, would in general not become a member of the Single Scheme.</w:t>
      </w:r>
      <w:r w:rsidRPr="0036300D">
        <w:rPr>
          <w:rFonts w:cs="Arial"/>
          <w:b/>
          <w:bCs/>
          <w:color w:val="000000"/>
          <w:lang w:eastAsia="en-IE"/>
        </w:rPr>
        <w:t xml:space="preserve"> </w:t>
      </w:r>
      <w:r w:rsidRPr="0036300D">
        <w:rPr>
          <w:rFonts w:cs="Arial"/>
          <w:color w:val="000000"/>
          <w:lang w:eastAsia="en-IE"/>
        </w:rPr>
        <w:t xml:space="preserve">In this case, such a candidate would instead, where applicable, </w:t>
      </w:r>
      <w:bookmarkStart w:id="21" w:name="ReopenDocument"/>
      <w:bookmarkEnd w:id="21"/>
      <w:r w:rsidRPr="0036300D">
        <w:rPr>
          <w:rFonts w:cs="Arial"/>
          <w:color w:val="000000"/>
          <w:lang w:eastAsia="en-IE"/>
        </w:rPr>
        <w:t xml:space="preserve">be offered membership of </w:t>
      </w:r>
      <w:r>
        <w:rPr>
          <w:rFonts w:cs="Arial"/>
          <w:color w:val="000000"/>
          <w:lang w:eastAsia="en-IE"/>
        </w:rPr>
        <w:t>the Health Insurance Authority</w:t>
      </w:r>
      <w:r w:rsidRPr="0036300D">
        <w:rPr>
          <w:rFonts w:cs="Arial"/>
          <w:color w:val="000000"/>
          <w:lang w:eastAsia="en-IE"/>
        </w:rPr>
        <w:t xml:space="preserve"> Staff Superannuation Scheme and its associated Spouses’ and Children’s Pension Scheme. This would mean that the abatement provisions above would apply, and in addition there are implications in respect of pension accrual as outlined below: </w:t>
      </w:r>
    </w:p>
    <w:p w14:paraId="4EE14FD9" w14:textId="77777777" w:rsidR="00837A29" w:rsidRPr="00933F7E" w:rsidRDefault="00837A29" w:rsidP="00837A29">
      <w:pPr>
        <w:pStyle w:val="Heading3"/>
        <w:numPr>
          <w:ilvl w:val="0"/>
          <w:numId w:val="0"/>
        </w:numPr>
        <w:rPr>
          <w:rFonts w:cs="Arial"/>
          <w:lang w:eastAsia="en-IE"/>
        </w:rPr>
      </w:pPr>
      <w:r w:rsidRPr="00933F7E">
        <w:rPr>
          <w:rFonts w:cs="Arial"/>
          <w:lang w:eastAsia="en-IE"/>
        </w:rPr>
        <w:t xml:space="preserve">Pension Accrual </w:t>
      </w:r>
    </w:p>
    <w:p w14:paraId="34C11651"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 xml:space="preserve">The Public Service Pensions (Single Scheme and other Provisions) Act 2012 introduced a 40-year limit on total service that can be counted towards pension where a person has been a member of more than one pre-existing public service pension scheme. </w:t>
      </w:r>
    </w:p>
    <w:p w14:paraId="2100609C" w14:textId="77777777" w:rsidR="00837A29" w:rsidRPr="00933F7E" w:rsidRDefault="00837A29" w:rsidP="00837A29">
      <w:pPr>
        <w:pStyle w:val="Heading3"/>
        <w:numPr>
          <w:ilvl w:val="0"/>
          <w:numId w:val="0"/>
        </w:numPr>
        <w:rPr>
          <w:rFonts w:cs="Arial"/>
          <w:lang w:eastAsia="en-IE"/>
        </w:rPr>
      </w:pPr>
      <w:r w:rsidRPr="00933F7E">
        <w:rPr>
          <w:rFonts w:cs="Arial"/>
          <w:lang w:eastAsia="en-IE"/>
        </w:rPr>
        <w:t>Eligibility to Compete</w:t>
      </w:r>
    </w:p>
    <w:p w14:paraId="2686F8DF" w14:textId="77777777" w:rsidR="00837A29" w:rsidRPr="0036300D" w:rsidRDefault="00837A29" w:rsidP="00837A29">
      <w:pPr>
        <w:autoSpaceDE w:val="0"/>
        <w:autoSpaceDN w:val="0"/>
        <w:adjustRightInd w:val="0"/>
        <w:rPr>
          <w:rFonts w:cs="Arial"/>
        </w:rPr>
      </w:pPr>
      <w:r w:rsidRPr="0036300D">
        <w:rPr>
          <w:rFonts w:cs="Arial"/>
        </w:rPr>
        <w:t>Candidates should note that eligibility to compete is open to citizens of the European Economic Area (EEA). The EEA consists of the Member States of the European Union along with Iceland, Liechtenstein and Norway</w:t>
      </w:r>
    </w:p>
    <w:p w14:paraId="23063F55" w14:textId="77777777" w:rsidR="00837A29" w:rsidRPr="0036300D" w:rsidRDefault="00837A29" w:rsidP="00837A29">
      <w:pPr>
        <w:pStyle w:val="Heading3"/>
        <w:numPr>
          <w:ilvl w:val="0"/>
          <w:numId w:val="0"/>
        </w:numPr>
        <w:ind w:left="720" w:hanging="720"/>
        <w:rPr>
          <w:rFonts w:cs="Arial"/>
          <w:b w:val="0"/>
          <w:bCs w:val="0"/>
          <w:color w:val="000000"/>
          <w:sz w:val="22"/>
          <w:lang w:eastAsia="en-IE"/>
        </w:rPr>
      </w:pPr>
      <w:bookmarkStart w:id="22" w:name="_Toc485824734"/>
      <w:bookmarkStart w:id="23" w:name="_Toc491181649"/>
      <w:bookmarkStart w:id="24" w:name="_Toc491348973"/>
      <w:r w:rsidRPr="0036300D">
        <w:rPr>
          <w:rFonts w:cs="Arial"/>
          <w:lang w:eastAsia="en-IE"/>
        </w:rPr>
        <w:t>Incentivised Scheme for Early Retirement (ISER)</w:t>
      </w:r>
      <w:bookmarkEnd w:id="22"/>
      <w:bookmarkEnd w:id="23"/>
      <w:bookmarkEnd w:id="24"/>
    </w:p>
    <w:p w14:paraId="41B85BD2"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 xml:space="preserve">It is a condition of the Incentivised Scheme for Early Retirement (ISER) as set out in Department of Finance Circular 12/09 </w:t>
      </w:r>
      <w:proofErr w:type="gramStart"/>
      <w:r w:rsidRPr="0036300D">
        <w:rPr>
          <w:rFonts w:cs="Arial"/>
          <w:color w:val="000000"/>
          <w:lang w:eastAsia="en-IE"/>
        </w:rPr>
        <w:t>that retirees</w:t>
      </w:r>
      <w:proofErr w:type="gramEnd"/>
      <w:r w:rsidRPr="0036300D">
        <w:rPr>
          <w:rFonts w:cs="Arial"/>
          <w:color w:val="000000"/>
          <w:lang w:eastAsia="en-IE"/>
        </w:rPr>
        <w:t xml:space="preserve">, under that Scheme, are debarred from applying for another position in the same employment or the same sector. Therefore, such retirees cannot apply while the above restrictions continue in force. </w:t>
      </w:r>
    </w:p>
    <w:p w14:paraId="58A76D1E" w14:textId="77777777" w:rsidR="00837A29" w:rsidRPr="0036300D" w:rsidRDefault="00837A29" w:rsidP="00837A29">
      <w:pPr>
        <w:pStyle w:val="Heading3"/>
        <w:numPr>
          <w:ilvl w:val="0"/>
          <w:numId w:val="0"/>
        </w:numPr>
        <w:ind w:left="720" w:hanging="720"/>
        <w:rPr>
          <w:rFonts w:cs="Arial"/>
          <w:lang w:eastAsia="en-IE"/>
        </w:rPr>
      </w:pPr>
      <w:bookmarkStart w:id="25" w:name="_Toc485824735"/>
      <w:bookmarkStart w:id="26" w:name="_Toc491181650"/>
      <w:bookmarkStart w:id="27" w:name="_Toc491348974"/>
      <w:r w:rsidRPr="0036300D">
        <w:rPr>
          <w:rFonts w:cs="Arial"/>
          <w:lang w:eastAsia="en-IE"/>
        </w:rPr>
        <w:t>Department of Health and Children Circular (7/2010)</w:t>
      </w:r>
      <w:bookmarkEnd w:id="25"/>
      <w:bookmarkEnd w:id="26"/>
      <w:bookmarkEnd w:id="27"/>
    </w:p>
    <w:p w14:paraId="2A11EBF8" w14:textId="77777777" w:rsidR="00837A29" w:rsidRPr="0036300D" w:rsidRDefault="00837A29" w:rsidP="00837A29">
      <w:pPr>
        <w:autoSpaceDE w:val="0"/>
        <w:autoSpaceDN w:val="0"/>
        <w:adjustRightInd w:val="0"/>
        <w:rPr>
          <w:rFonts w:cs="Arial"/>
          <w:i/>
          <w:iCs/>
          <w:color w:val="000000"/>
          <w:lang w:eastAsia="en-IE"/>
        </w:rPr>
      </w:pPr>
      <w:r w:rsidRPr="0036300D">
        <w:rPr>
          <w:rFonts w:cs="Arial"/>
          <w:color w:val="000000"/>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 while the above restrictions apply</w:t>
      </w:r>
      <w:r w:rsidRPr="0036300D">
        <w:rPr>
          <w:rFonts w:cs="Arial"/>
          <w:i/>
          <w:iCs/>
          <w:color w:val="000000"/>
          <w:lang w:eastAsia="en-IE"/>
        </w:rPr>
        <w:t xml:space="preserve">. </w:t>
      </w:r>
    </w:p>
    <w:p w14:paraId="0C965B4B" w14:textId="77777777" w:rsidR="00837A29" w:rsidRPr="0036300D" w:rsidRDefault="00837A29" w:rsidP="00837A29">
      <w:pPr>
        <w:pStyle w:val="Heading3"/>
        <w:numPr>
          <w:ilvl w:val="0"/>
          <w:numId w:val="0"/>
        </w:numPr>
        <w:rPr>
          <w:rFonts w:cs="Arial"/>
          <w:lang w:eastAsia="en-IE"/>
        </w:rPr>
      </w:pPr>
      <w:bookmarkStart w:id="28" w:name="_Toc485824736"/>
      <w:bookmarkStart w:id="29" w:name="_Toc491181651"/>
      <w:bookmarkStart w:id="30" w:name="_Toc491348975"/>
      <w:r w:rsidRPr="0036300D">
        <w:rPr>
          <w:rFonts w:cs="Arial"/>
          <w:lang w:eastAsia="en-IE"/>
        </w:rPr>
        <w:t>Collective Agreement: Redundancy Payments to Public Servants</w:t>
      </w:r>
      <w:bookmarkEnd w:id="28"/>
      <w:bookmarkEnd w:id="29"/>
      <w:bookmarkEnd w:id="30"/>
      <w:r w:rsidRPr="0036300D">
        <w:rPr>
          <w:rFonts w:cs="Arial"/>
          <w:lang w:eastAsia="en-IE"/>
        </w:rPr>
        <w:t xml:space="preserve"> </w:t>
      </w:r>
    </w:p>
    <w:p w14:paraId="7F3909AF"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The Department of Public Expenditure and Reform letter dated 28</w:t>
      </w:r>
      <w:r w:rsidRPr="0036300D">
        <w:rPr>
          <w:rFonts w:cs="Arial"/>
          <w:color w:val="000000"/>
          <w:sz w:val="12"/>
          <w:szCs w:val="14"/>
          <w:lang w:eastAsia="en-IE"/>
        </w:rPr>
        <w:t xml:space="preserve">th </w:t>
      </w:r>
      <w:r w:rsidRPr="0036300D">
        <w:rPr>
          <w:rFonts w:cs="Arial"/>
          <w:color w:val="000000"/>
          <w:lang w:eastAsia="en-IE"/>
        </w:rPr>
        <w:t>June 2012 to Personnel Officers introduced, with effect from 1</w:t>
      </w:r>
      <w:r w:rsidRPr="0036300D">
        <w:rPr>
          <w:rFonts w:cs="Arial"/>
          <w:color w:val="000000"/>
          <w:sz w:val="12"/>
          <w:szCs w:val="14"/>
          <w:lang w:eastAsia="en-IE"/>
        </w:rPr>
        <w:t xml:space="preserve">st </w:t>
      </w:r>
      <w:r w:rsidRPr="0036300D">
        <w:rPr>
          <w:rFonts w:cs="Arial"/>
          <w:color w:val="000000"/>
          <w:lang w:eastAsia="en-IE"/>
        </w:rPr>
        <w:t>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4A357CAE" w14:textId="77777777" w:rsidR="00837A29" w:rsidRPr="0036300D" w:rsidRDefault="00837A29" w:rsidP="00837A29">
      <w:pPr>
        <w:pStyle w:val="Heading3"/>
        <w:numPr>
          <w:ilvl w:val="0"/>
          <w:numId w:val="0"/>
        </w:numPr>
        <w:rPr>
          <w:rFonts w:cs="Arial"/>
          <w:lang w:eastAsia="en-IE"/>
        </w:rPr>
      </w:pPr>
      <w:bookmarkStart w:id="31" w:name="_Toc485824737"/>
      <w:bookmarkStart w:id="32" w:name="_Toc491181652"/>
      <w:bookmarkStart w:id="33" w:name="_Toc491348976"/>
      <w:r w:rsidRPr="0036300D">
        <w:rPr>
          <w:rFonts w:cs="Arial"/>
          <w:lang w:eastAsia="en-IE"/>
        </w:rPr>
        <w:t>Declaration</w:t>
      </w:r>
      <w:bookmarkEnd w:id="31"/>
      <w:bookmarkEnd w:id="32"/>
      <w:bookmarkEnd w:id="33"/>
    </w:p>
    <w:p w14:paraId="00FCEDAA"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Applicants will be required to declare whether they have previously availed of a public service scheme of incentivised early retirement and/or the collective agreement outlined above.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02364D0E" w14:textId="77777777" w:rsidR="00837A29" w:rsidRDefault="00837A29" w:rsidP="00837A29">
      <w:pPr>
        <w:pStyle w:val="Heading2"/>
      </w:pPr>
      <w:r>
        <w:t>Other Conditions of Employment</w:t>
      </w:r>
    </w:p>
    <w:p w14:paraId="7836D1B3" w14:textId="77777777" w:rsidR="00837A29" w:rsidRDefault="00837A29" w:rsidP="00837A29">
      <w:pPr>
        <w:spacing w:after="0"/>
      </w:pPr>
      <w:r w:rsidRPr="00493B22">
        <w:t>Further information on the conditions of employment will be outlined in the contract of employment for the successful candidate.</w:t>
      </w:r>
      <w:r>
        <w:br w:type="page"/>
      </w:r>
    </w:p>
    <w:p w14:paraId="6AA44C0C" w14:textId="77777777" w:rsidR="00E54EE7" w:rsidRPr="00D955DF" w:rsidRDefault="00E54EE7" w:rsidP="00E54EE7">
      <w:pPr>
        <w:pStyle w:val="Heading1"/>
        <w:ind w:left="720" w:hanging="720"/>
        <w:rPr>
          <w:rFonts w:ascii="Arial Narrow" w:hAnsi="Arial Narrow"/>
          <w:color w:val="003478"/>
          <w:sz w:val="28"/>
          <w:szCs w:val="26"/>
        </w:rPr>
      </w:pPr>
      <w:bookmarkStart w:id="34" w:name="_Toc31616412"/>
      <w:r w:rsidRPr="00D955DF">
        <w:rPr>
          <w:rFonts w:ascii="Arial Narrow" w:hAnsi="Arial Narrow"/>
          <w:color w:val="003478"/>
          <w:sz w:val="28"/>
          <w:szCs w:val="26"/>
        </w:rPr>
        <w:t>How to Apply</w:t>
      </w:r>
    </w:p>
    <w:p w14:paraId="3C066005" w14:textId="77777777" w:rsidR="00E54EE7" w:rsidRPr="0076395C" w:rsidRDefault="00E54EE7" w:rsidP="00E54EE7">
      <w:pPr>
        <w:pStyle w:val="Heading3"/>
        <w:numPr>
          <w:ilvl w:val="0"/>
          <w:numId w:val="0"/>
        </w:numPr>
        <w:ind w:left="720" w:hanging="720"/>
      </w:pPr>
      <w:bookmarkStart w:id="35" w:name="_Toc16001771"/>
      <w:r w:rsidRPr="0076395C">
        <w:t>How to Apply</w:t>
      </w:r>
      <w:bookmarkEnd w:id="35"/>
    </w:p>
    <w:bookmarkEnd w:id="34"/>
    <w:p w14:paraId="6F6C636E" w14:textId="77777777" w:rsidR="00E54EE7" w:rsidRDefault="00E54EE7" w:rsidP="00837A29">
      <w:pPr>
        <w:autoSpaceDE w:val="0"/>
        <w:autoSpaceDN w:val="0"/>
        <w:adjustRightInd w:val="0"/>
        <w:rPr>
          <w:rFonts w:cs="Arial"/>
        </w:rPr>
      </w:pPr>
      <w:r w:rsidRPr="00E54EE7">
        <w:rPr>
          <w:rFonts w:cs="Arial"/>
        </w:rPr>
        <w:t xml:space="preserve">Applications should be made by e-mail to cam@hia.ie.  </w:t>
      </w:r>
    </w:p>
    <w:p w14:paraId="326D8F13" w14:textId="77777777" w:rsidR="00E54EE7" w:rsidRDefault="00E54EE7" w:rsidP="00837A29">
      <w:pPr>
        <w:autoSpaceDE w:val="0"/>
        <w:autoSpaceDN w:val="0"/>
        <w:adjustRightInd w:val="0"/>
        <w:rPr>
          <w:rFonts w:cs="Arial"/>
        </w:rPr>
      </w:pPr>
      <w:r w:rsidRPr="00E54EE7">
        <w:rPr>
          <w:rFonts w:cs="Arial"/>
        </w:rPr>
        <w:t xml:space="preserve">Applicants should forward a completed application form (available at hia.ie) and cover letter of not more than 1 page, outlining your suitability for the position.  </w:t>
      </w:r>
    </w:p>
    <w:p w14:paraId="1E9219D8" w14:textId="2C2F6CCC" w:rsidR="00E54EE7" w:rsidRDefault="00E54EE7" w:rsidP="00837A29">
      <w:pPr>
        <w:autoSpaceDE w:val="0"/>
        <w:autoSpaceDN w:val="0"/>
        <w:adjustRightInd w:val="0"/>
        <w:rPr>
          <w:rFonts w:cs="Arial"/>
        </w:rPr>
      </w:pPr>
      <w:r w:rsidRPr="00E54EE7">
        <w:rPr>
          <w:rFonts w:cs="Arial"/>
        </w:rPr>
        <w:t xml:space="preserve">The application form and cover letter should be emailed as one document in either Word or pdf format. </w:t>
      </w:r>
    </w:p>
    <w:p w14:paraId="22DD6673" w14:textId="77777777" w:rsidR="00E54EE7" w:rsidRDefault="00E54EE7" w:rsidP="00837A29">
      <w:pPr>
        <w:pStyle w:val="Heading3"/>
        <w:numPr>
          <w:ilvl w:val="0"/>
          <w:numId w:val="0"/>
        </w:numPr>
        <w:ind w:left="720" w:hanging="720"/>
      </w:pPr>
    </w:p>
    <w:p w14:paraId="18F09EF7" w14:textId="4DA08A10" w:rsidR="00837A29" w:rsidRDefault="00837A29" w:rsidP="00837A29">
      <w:pPr>
        <w:pStyle w:val="Heading3"/>
        <w:numPr>
          <w:ilvl w:val="0"/>
          <w:numId w:val="0"/>
        </w:numPr>
        <w:ind w:left="720" w:hanging="720"/>
      </w:pPr>
      <w:r>
        <w:t>Closing Date</w:t>
      </w:r>
    </w:p>
    <w:p w14:paraId="620F35A2" w14:textId="6C9D2A55" w:rsidR="00837A29" w:rsidRDefault="00837A29" w:rsidP="00837A29">
      <w:r w:rsidRPr="00BF20E1">
        <w:rPr>
          <w:b/>
        </w:rPr>
        <w:t>Deadline for application</w:t>
      </w:r>
      <w:r w:rsidRPr="00783E1A">
        <w:rPr>
          <w:b/>
        </w:rPr>
        <w:t>:</w:t>
      </w:r>
      <w:r w:rsidR="00852229">
        <w:rPr>
          <w:b/>
        </w:rPr>
        <w:t xml:space="preserve"> </w:t>
      </w:r>
      <w:r w:rsidR="00852229" w:rsidRPr="00E54EE7">
        <w:rPr>
          <w:b/>
        </w:rPr>
        <w:t>January 15</w:t>
      </w:r>
      <w:r w:rsidR="00852229" w:rsidRPr="00E54EE7">
        <w:rPr>
          <w:b/>
          <w:vertAlign w:val="superscript"/>
        </w:rPr>
        <w:t>th</w:t>
      </w:r>
      <w:proofErr w:type="gramStart"/>
      <w:r w:rsidR="00852229" w:rsidRPr="00E54EE7">
        <w:rPr>
          <w:b/>
        </w:rPr>
        <w:t xml:space="preserve"> 2023</w:t>
      </w:r>
      <w:proofErr w:type="gramEnd"/>
      <w:r w:rsidRPr="00E54EE7">
        <w:rPr>
          <w:rFonts w:cs="Arial"/>
          <w:bCs/>
          <w:szCs w:val="20"/>
        </w:rPr>
        <w:t>.</w:t>
      </w:r>
    </w:p>
    <w:p w14:paraId="3D7874D8" w14:textId="6DA84B48" w:rsidR="00837A29" w:rsidRDefault="00E54EE7" w:rsidP="00837A29">
      <w:r w:rsidRPr="00E54EE7">
        <w:t xml:space="preserve">Your application must be submitted no later than 12 noon on </w:t>
      </w:r>
      <w:r>
        <w:t>15</w:t>
      </w:r>
      <w:r w:rsidRPr="00E54EE7">
        <w:t xml:space="preserve">th </w:t>
      </w:r>
      <w:r>
        <w:t>January</w:t>
      </w:r>
      <w:r w:rsidRPr="00E54EE7">
        <w:t xml:space="preserve"> 202</w:t>
      </w:r>
      <w:r>
        <w:t>3</w:t>
      </w:r>
      <w:r w:rsidRPr="00E54EE7">
        <w:t>.  Applications will not be accepted after this date</w:t>
      </w:r>
      <w:r w:rsidR="00837A29">
        <w:t>.</w:t>
      </w:r>
    </w:p>
    <w:p w14:paraId="6C5CF760" w14:textId="77777777" w:rsidR="00E54EE7" w:rsidRDefault="00E54EE7" w:rsidP="00837A29"/>
    <w:p w14:paraId="512757D0" w14:textId="77777777" w:rsidR="00837A29" w:rsidRDefault="00837A29" w:rsidP="00837A29">
      <w:pPr>
        <w:pStyle w:val="Heading3"/>
        <w:numPr>
          <w:ilvl w:val="0"/>
          <w:numId w:val="0"/>
        </w:numPr>
        <w:ind w:left="720" w:hanging="720"/>
      </w:pPr>
      <w:r>
        <w:t>Selection Process</w:t>
      </w:r>
    </w:p>
    <w:p w14:paraId="4BDE221B" w14:textId="77777777" w:rsidR="00E54EE7" w:rsidRDefault="00E54EE7" w:rsidP="00837A29">
      <w:pPr>
        <w:spacing w:after="0"/>
      </w:pPr>
      <w:r>
        <w:t>The HIA</w:t>
      </w:r>
      <w:r w:rsidR="001A43D6">
        <w:t xml:space="preserve"> </w:t>
      </w:r>
      <w:r w:rsidR="00837A29">
        <w:t xml:space="preserve">will be undertaking a competency-based selection process in identifying suitable candidates for the role of </w:t>
      </w:r>
      <w:r w:rsidR="00852229">
        <w:t>HR Lead</w:t>
      </w:r>
      <w:r w:rsidR="00837A29">
        <w:t xml:space="preserve">. Psychometric testing may be required for candidates, who are successful in the initial screening process, prior to or post being invited forward for interview. </w:t>
      </w:r>
    </w:p>
    <w:p w14:paraId="63F150A2" w14:textId="77777777" w:rsidR="00E54EE7" w:rsidRDefault="00E54EE7" w:rsidP="00837A29">
      <w:pPr>
        <w:spacing w:after="0"/>
      </w:pPr>
    </w:p>
    <w:p w14:paraId="2F49F50E" w14:textId="23CF54B4" w:rsidR="00837A29" w:rsidRDefault="00837A29" w:rsidP="00837A29">
      <w:pPr>
        <w:spacing w:after="0"/>
      </w:pPr>
      <w:r>
        <w:t xml:space="preserve">A competency-based interview process will be held with a selection board comprised in accordance with the Authority’s arrangements for posts at this </w:t>
      </w:r>
      <w:r w:rsidRPr="00852229">
        <w:t>level. Please note Interviews may be held remotely using Video-Conferencing software.</w:t>
      </w:r>
      <w:r>
        <w:t xml:space="preserve"> </w:t>
      </w:r>
      <w:r>
        <w:br w:type="page"/>
      </w:r>
    </w:p>
    <w:p w14:paraId="434AD9ED" w14:textId="77777777" w:rsidR="00837A29" w:rsidRDefault="00837A29" w:rsidP="00837A29">
      <w:pPr>
        <w:pStyle w:val="Heading1"/>
        <w:spacing w:after="0"/>
        <w:ind w:left="720" w:hanging="720"/>
      </w:pPr>
      <w:bookmarkStart w:id="36" w:name="_Toc31616413"/>
      <w:r>
        <w:t>General Information</w:t>
      </w:r>
      <w:bookmarkEnd w:id="36"/>
    </w:p>
    <w:p w14:paraId="272582E6" w14:textId="77777777" w:rsidR="00837A29" w:rsidRDefault="00837A29" w:rsidP="00837A29">
      <w:pPr>
        <w:pStyle w:val="Heading2"/>
      </w:pPr>
      <w:r>
        <w:t>Citizenship</w:t>
      </w:r>
    </w:p>
    <w:p w14:paraId="651B70DE" w14:textId="77777777" w:rsidR="00837A29" w:rsidRDefault="00837A29" w:rsidP="00837A29">
      <w:r>
        <w:t>Persons who are not citizens of the EU, the European Economic Area (EEA) states and Switzerland are not eligible to compete.</w:t>
      </w:r>
    </w:p>
    <w:p w14:paraId="68C5E124" w14:textId="77777777" w:rsidR="00837A29" w:rsidRDefault="00837A29" w:rsidP="00837A29">
      <w:r>
        <w:t>The EEA consists of the member states of the European Union along with Iceland, Liechtenstein and Norway. Eligibility should be confirmed with the Department of Jobs, Enterprise &amp; Innovation.</w:t>
      </w:r>
    </w:p>
    <w:p w14:paraId="0A5B22E2" w14:textId="77777777" w:rsidR="00837A29" w:rsidRDefault="00837A29" w:rsidP="00837A29">
      <w:pPr>
        <w:pStyle w:val="Heading2"/>
      </w:pPr>
      <w:r>
        <w:t>Reference Checks</w:t>
      </w:r>
    </w:p>
    <w:p w14:paraId="6555F4CB" w14:textId="77777777" w:rsidR="00837A29" w:rsidRDefault="00837A29" w:rsidP="00837A29">
      <w:r w:rsidRPr="009864E3">
        <w:t>Please note that any offer of employment made to a successful candidate will be subject to satisfactory reference verification and satisfactory verification of academic and professional qualifications.</w:t>
      </w:r>
    </w:p>
    <w:p w14:paraId="781EEA72" w14:textId="77777777" w:rsidR="00837A29" w:rsidRDefault="00837A29" w:rsidP="00837A29">
      <w:pPr>
        <w:pStyle w:val="Heading2"/>
      </w:pPr>
      <w:r>
        <w:t>Confidentiality</w:t>
      </w:r>
    </w:p>
    <w:p w14:paraId="55151AC3" w14:textId="77777777" w:rsidR="00837A29" w:rsidRDefault="00837A29" w:rsidP="00837A29">
      <w:r w:rsidRPr="006E3AD9">
        <w:t xml:space="preserve">Candidate confidentiality will be respected at all stages of the recruitment process. Applicants should however note that all application material will be made available to those with direct responsibility for the recruitment process within the </w:t>
      </w:r>
      <w:r>
        <w:t>Authority</w:t>
      </w:r>
      <w:r w:rsidRPr="006E3AD9">
        <w:t>.</w:t>
      </w:r>
    </w:p>
    <w:p w14:paraId="25B094B7" w14:textId="77777777" w:rsidR="00837A29" w:rsidRDefault="00837A29" w:rsidP="00837A29">
      <w:pPr>
        <w:pStyle w:val="Heading2"/>
      </w:pPr>
      <w:r>
        <w:t>Legal Compliance</w:t>
      </w:r>
    </w:p>
    <w:p w14:paraId="0245FD36" w14:textId="69B31FD4" w:rsidR="00837A29" w:rsidRDefault="00E54EE7" w:rsidP="00837A29">
      <w:r>
        <w:t>T</w:t>
      </w:r>
      <w:r w:rsidR="00837A29" w:rsidRPr="006E3AD9">
        <w:t xml:space="preserve">he </w:t>
      </w:r>
      <w:r>
        <w:t>HIA is</w:t>
      </w:r>
      <w:r w:rsidR="00837A29" w:rsidRPr="006E3AD9">
        <w:t xml:space="preserve"> committed to complying with all relevant legislation over the course of this recruitment campaign, including the Employment Equality Acts 1998-2011, the Data Protection Acts 1988 - 2018, and the Freedom of Information Acts, 1997, 2003 and 2014.</w:t>
      </w:r>
    </w:p>
    <w:p w14:paraId="520FB418" w14:textId="77777777" w:rsidR="00837A29" w:rsidRDefault="00837A29" w:rsidP="00837A29">
      <w:pPr>
        <w:pStyle w:val="Heading2"/>
      </w:pPr>
      <w:r>
        <w:t>Expenses</w:t>
      </w:r>
    </w:p>
    <w:p w14:paraId="3F7CCE65" w14:textId="51994D0E" w:rsidR="00837A29" w:rsidRDefault="00E54EE7" w:rsidP="00837A29">
      <w:r>
        <w:t>The HIA</w:t>
      </w:r>
      <w:r w:rsidR="00837A29" w:rsidRPr="006E3AD9">
        <w:t xml:space="preserve"> will not be responsible for any expense, including travelling expenses, candidates may incur in connection with their candidature.</w:t>
      </w:r>
    </w:p>
    <w:p w14:paraId="3206C2B9" w14:textId="77777777" w:rsidR="00837A29" w:rsidRDefault="00837A29" w:rsidP="00837A29">
      <w:pPr>
        <w:pStyle w:val="Heading2"/>
      </w:pPr>
      <w:r>
        <w:t>Canvassing</w:t>
      </w:r>
    </w:p>
    <w:p w14:paraId="4868F85E" w14:textId="77777777" w:rsidR="00837A29" w:rsidRPr="006E3AD9" w:rsidRDefault="00837A29" w:rsidP="00837A29">
      <w:r w:rsidRPr="006E3AD9">
        <w:t>Canvassing will result in disqualification from the competition.</w:t>
      </w:r>
    </w:p>
    <w:p w14:paraId="7FCF1575" w14:textId="77777777" w:rsidR="00662D14" w:rsidRDefault="00662D14"/>
    <w:sectPr w:rsidR="00662D1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D3C3" w14:textId="77777777" w:rsidR="00023746" w:rsidRDefault="00023746" w:rsidP="00837A29">
      <w:pPr>
        <w:spacing w:after="0"/>
      </w:pPr>
      <w:r>
        <w:separator/>
      </w:r>
    </w:p>
  </w:endnote>
  <w:endnote w:type="continuationSeparator" w:id="0">
    <w:p w14:paraId="58ED4793" w14:textId="77777777" w:rsidR="00023746" w:rsidRDefault="00023746" w:rsidP="008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207A" w14:textId="4CD23C76" w:rsidR="005909C0" w:rsidRDefault="00023746" w:rsidP="0066212D">
    <w:pPr>
      <w:pStyle w:val="Footer"/>
      <w:pBdr>
        <w:top w:val="single" w:sz="24" w:space="1" w:color="auto"/>
      </w:pBdr>
      <w:jc w:val="center"/>
      <w:rPr>
        <w:sz w:val="18"/>
        <w:szCs w:val="18"/>
      </w:rPr>
    </w:pPr>
  </w:p>
  <w:p w14:paraId="21EFBFFD" w14:textId="77777777" w:rsidR="005909C0" w:rsidRDefault="003365D8" w:rsidP="006764E1">
    <w:pPr>
      <w:pStyle w:val="Footer"/>
      <w:pBdr>
        <w:top w:val="single" w:sz="24" w:space="1" w:color="auto"/>
      </w:pBdr>
      <w:jc w:val="center"/>
      <w:rPr>
        <w:noProof/>
        <w:sz w:val="18"/>
        <w:szCs w:val="18"/>
      </w:rPr>
    </w:pPr>
    <w:r w:rsidRPr="009D2972">
      <w:rPr>
        <w:sz w:val="18"/>
        <w:szCs w:val="18"/>
      </w:rPr>
      <w:fldChar w:fldCharType="begin"/>
    </w:r>
    <w:r w:rsidRPr="009D2972">
      <w:rPr>
        <w:sz w:val="18"/>
        <w:szCs w:val="18"/>
      </w:rPr>
      <w:instrText xml:space="preserve"> PAGE   \* MERGEFORMAT </w:instrText>
    </w:r>
    <w:r w:rsidRPr="009D2972">
      <w:rPr>
        <w:sz w:val="18"/>
        <w:szCs w:val="18"/>
      </w:rPr>
      <w:fldChar w:fldCharType="separate"/>
    </w:r>
    <w:r>
      <w:rPr>
        <w:noProof/>
        <w:sz w:val="18"/>
        <w:szCs w:val="18"/>
      </w:rPr>
      <w:t>7</w:t>
    </w:r>
    <w:r w:rsidRPr="009D297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1F34" w14:textId="77777777" w:rsidR="00023746" w:rsidRDefault="00023746" w:rsidP="00837A29">
      <w:pPr>
        <w:spacing w:after="0"/>
      </w:pPr>
      <w:r>
        <w:separator/>
      </w:r>
    </w:p>
  </w:footnote>
  <w:footnote w:type="continuationSeparator" w:id="0">
    <w:p w14:paraId="740E6F9C" w14:textId="77777777" w:rsidR="00023746" w:rsidRDefault="00023746" w:rsidP="008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64F3" w14:textId="77777777" w:rsidR="005909C0" w:rsidRDefault="00023746">
    <w:pPr>
      <w:pStyle w:val="Header"/>
    </w:pPr>
  </w:p>
  <w:p w14:paraId="24727786" w14:textId="77777777" w:rsidR="005909C0" w:rsidRDefault="00023746">
    <w:pPr>
      <w:pStyle w:val="Header"/>
    </w:pPr>
  </w:p>
  <w:p w14:paraId="566020D3" w14:textId="77777777" w:rsidR="005909C0" w:rsidRDefault="00023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63A"/>
    <w:multiLevelType w:val="hybridMultilevel"/>
    <w:tmpl w:val="0B32FA54"/>
    <w:lvl w:ilvl="0" w:tplc="FC68B52E">
      <w:start w:val="1"/>
      <w:numFmt w:val="bullet"/>
      <w:lvlText w:val=""/>
      <w:lvlJc w:val="left"/>
      <w:pPr>
        <w:ind w:left="720" w:hanging="360"/>
      </w:pPr>
      <w:rPr>
        <w:rFonts w:ascii="Symbol" w:hAnsi="Symbol" w:hint="default"/>
        <w:caps w:val="0"/>
        <w:strike w:val="0"/>
        <w:dstrike w:val="0"/>
        <w:vanish w:val="0"/>
        <w:color w:val="AA272F"/>
        <w:u w:val="none" w:color="FFFFFF"/>
        <w:effect w:val="none"/>
        <w:vertAlign w:val="baseline"/>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AF40DC"/>
    <w:multiLevelType w:val="hybridMultilevel"/>
    <w:tmpl w:val="8DCC3ED6"/>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9D62A3"/>
    <w:multiLevelType w:val="hybridMultilevel"/>
    <w:tmpl w:val="96F49498"/>
    <w:lvl w:ilvl="0" w:tplc="59CAEE28">
      <w:start w:val="1"/>
      <w:numFmt w:val="bullet"/>
      <w:pStyle w:val="Bullet"/>
      <w:lvlText w:val=""/>
      <w:lvlJc w:val="left"/>
      <w:pPr>
        <w:ind w:left="644" w:hanging="360"/>
      </w:pPr>
      <w:rPr>
        <w:rFonts w:ascii="Symbol" w:hAnsi="Symbol" w:hint="default"/>
        <w:b w:val="0"/>
        <w:bCs w:val="0"/>
        <w:i w:val="0"/>
        <w:iCs w:val="0"/>
        <w:caps w:val="0"/>
        <w:strike w:val="0"/>
        <w:dstrike w:val="0"/>
        <w:vanish w:val="0"/>
        <w:color w:val="B559E5"/>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9E457EC">
      <w:start w:val="1"/>
      <w:numFmt w:val="bullet"/>
      <w:lvlText w:val="o"/>
      <w:lvlJc w:val="left"/>
      <w:pPr>
        <w:ind w:left="1364" w:hanging="360"/>
      </w:pPr>
      <w:rPr>
        <w:rFonts w:ascii="Courier New" w:hAnsi="Courier New" w:cs="Courier New" w:hint="default"/>
      </w:rPr>
    </w:lvl>
    <w:lvl w:ilvl="2" w:tplc="594E9594" w:tentative="1">
      <w:start w:val="1"/>
      <w:numFmt w:val="bullet"/>
      <w:lvlText w:val=""/>
      <w:lvlJc w:val="left"/>
      <w:pPr>
        <w:ind w:left="2084" w:hanging="360"/>
      </w:pPr>
      <w:rPr>
        <w:rFonts w:ascii="Wingdings" w:hAnsi="Wingdings" w:hint="default"/>
      </w:rPr>
    </w:lvl>
    <w:lvl w:ilvl="3" w:tplc="BA865932" w:tentative="1">
      <w:start w:val="1"/>
      <w:numFmt w:val="bullet"/>
      <w:lvlText w:val=""/>
      <w:lvlJc w:val="left"/>
      <w:pPr>
        <w:ind w:left="2804" w:hanging="360"/>
      </w:pPr>
      <w:rPr>
        <w:rFonts w:ascii="Symbol" w:hAnsi="Symbol" w:hint="default"/>
      </w:rPr>
    </w:lvl>
    <w:lvl w:ilvl="4" w:tplc="5A108CCE" w:tentative="1">
      <w:start w:val="1"/>
      <w:numFmt w:val="bullet"/>
      <w:lvlText w:val="o"/>
      <w:lvlJc w:val="left"/>
      <w:pPr>
        <w:ind w:left="3524" w:hanging="360"/>
      </w:pPr>
      <w:rPr>
        <w:rFonts w:ascii="Courier New" w:hAnsi="Courier New" w:cs="Courier New" w:hint="default"/>
      </w:rPr>
    </w:lvl>
    <w:lvl w:ilvl="5" w:tplc="43C08B70" w:tentative="1">
      <w:start w:val="1"/>
      <w:numFmt w:val="bullet"/>
      <w:lvlText w:val=""/>
      <w:lvlJc w:val="left"/>
      <w:pPr>
        <w:ind w:left="4244" w:hanging="360"/>
      </w:pPr>
      <w:rPr>
        <w:rFonts w:ascii="Wingdings" w:hAnsi="Wingdings" w:hint="default"/>
      </w:rPr>
    </w:lvl>
    <w:lvl w:ilvl="6" w:tplc="B0C4D84E" w:tentative="1">
      <w:start w:val="1"/>
      <w:numFmt w:val="bullet"/>
      <w:lvlText w:val=""/>
      <w:lvlJc w:val="left"/>
      <w:pPr>
        <w:ind w:left="4964" w:hanging="360"/>
      </w:pPr>
      <w:rPr>
        <w:rFonts w:ascii="Symbol" w:hAnsi="Symbol" w:hint="default"/>
      </w:rPr>
    </w:lvl>
    <w:lvl w:ilvl="7" w:tplc="BE6CC9A4" w:tentative="1">
      <w:start w:val="1"/>
      <w:numFmt w:val="bullet"/>
      <w:lvlText w:val="o"/>
      <w:lvlJc w:val="left"/>
      <w:pPr>
        <w:ind w:left="5684" w:hanging="360"/>
      </w:pPr>
      <w:rPr>
        <w:rFonts w:ascii="Courier New" w:hAnsi="Courier New" w:cs="Courier New" w:hint="default"/>
      </w:rPr>
    </w:lvl>
    <w:lvl w:ilvl="8" w:tplc="317CB6E2" w:tentative="1">
      <w:start w:val="1"/>
      <w:numFmt w:val="bullet"/>
      <w:lvlText w:val=""/>
      <w:lvlJc w:val="left"/>
      <w:pPr>
        <w:ind w:left="6404" w:hanging="360"/>
      </w:pPr>
      <w:rPr>
        <w:rFonts w:ascii="Wingdings" w:hAnsi="Wingdings" w:hint="default"/>
      </w:rPr>
    </w:lvl>
  </w:abstractNum>
  <w:abstractNum w:abstractNumId="3" w15:restartNumberingAfterBreak="0">
    <w:nsid w:val="20FF10FE"/>
    <w:multiLevelType w:val="hybridMultilevel"/>
    <w:tmpl w:val="0EB6CCA0"/>
    <w:lvl w:ilvl="0" w:tplc="4B4AECFC">
      <w:start w:val="1"/>
      <w:numFmt w:val="lowerRoman"/>
      <w:lvlText w:val="%1."/>
      <w:lvlJc w:val="left"/>
      <w:pPr>
        <w:ind w:left="1434" w:hanging="720"/>
      </w:pPr>
      <w:rPr>
        <w:rFonts w:hint="default"/>
      </w:rPr>
    </w:lvl>
    <w:lvl w:ilvl="1" w:tplc="0FBC0F34" w:tentative="1">
      <w:start w:val="1"/>
      <w:numFmt w:val="lowerLetter"/>
      <w:lvlText w:val="%2."/>
      <w:lvlJc w:val="left"/>
      <w:pPr>
        <w:ind w:left="1794" w:hanging="360"/>
      </w:pPr>
    </w:lvl>
    <w:lvl w:ilvl="2" w:tplc="7C7E4CB4" w:tentative="1">
      <w:start w:val="1"/>
      <w:numFmt w:val="lowerRoman"/>
      <w:lvlText w:val="%3."/>
      <w:lvlJc w:val="right"/>
      <w:pPr>
        <w:ind w:left="2514" w:hanging="180"/>
      </w:pPr>
    </w:lvl>
    <w:lvl w:ilvl="3" w:tplc="2682CD1A" w:tentative="1">
      <w:start w:val="1"/>
      <w:numFmt w:val="decimal"/>
      <w:lvlText w:val="%4."/>
      <w:lvlJc w:val="left"/>
      <w:pPr>
        <w:ind w:left="3234" w:hanging="360"/>
      </w:pPr>
    </w:lvl>
    <w:lvl w:ilvl="4" w:tplc="EC368506" w:tentative="1">
      <w:start w:val="1"/>
      <w:numFmt w:val="lowerLetter"/>
      <w:lvlText w:val="%5."/>
      <w:lvlJc w:val="left"/>
      <w:pPr>
        <w:ind w:left="3954" w:hanging="360"/>
      </w:pPr>
    </w:lvl>
    <w:lvl w:ilvl="5" w:tplc="D296437C" w:tentative="1">
      <w:start w:val="1"/>
      <w:numFmt w:val="lowerRoman"/>
      <w:lvlText w:val="%6."/>
      <w:lvlJc w:val="right"/>
      <w:pPr>
        <w:ind w:left="4674" w:hanging="180"/>
      </w:pPr>
    </w:lvl>
    <w:lvl w:ilvl="6" w:tplc="47E2FA40" w:tentative="1">
      <w:start w:val="1"/>
      <w:numFmt w:val="decimal"/>
      <w:lvlText w:val="%7."/>
      <w:lvlJc w:val="left"/>
      <w:pPr>
        <w:ind w:left="5394" w:hanging="360"/>
      </w:pPr>
    </w:lvl>
    <w:lvl w:ilvl="7" w:tplc="218AEDC4" w:tentative="1">
      <w:start w:val="1"/>
      <w:numFmt w:val="lowerLetter"/>
      <w:lvlText w:val="%8."/>
      <w:lvlJc w:val="left"/>
      <w:pPr>
        <w:ind w:left="6114" w:hanging="360"/>
      </w:pPr>
    </w:lvl>
    <w:lvl w:ilvl="8" w:tplc="158268F0" w:tentative="1">
      <w:start w:val="1"/>
      <w:numFmt w:val="lowerRoman"/>
      <w:lvlText w:val="%9."/>
      <w:lvlJc w:val="right"/>
      <w:pPr>
        <w:ind w:left="6834" w:hanging="180"/>
      </w:pPr>
    </w:lvl>
  </w:abstractNum>
  <w:abstractNum w:abstractNumId="4" w15:restartNumberingAfterBreak="0">
    <w:nsid w:val="234B35D2"/>
    <w:multiLevelType w:val="hybridMultilevel"/>
    <w:tmpl w:val="CA1C2B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1861E5"/>
    <w:multiLevelType w:val="hybridMultilevel"/>
    <w:tmpl w:val="B00A265A"/>
    <w:lvl w:ilvl="0" w:tplc="FC68B52E">
      <w:start w:val="1"/>
      <w:numFmt w:val="bullet"/>
      <w:lvlText w:val=""/>
      <w:lvlJc w:val="left"/>
      <w:pPr>
        <w:ind w:left="720" w:hanging="360"/>
      </w:pPr>
      <w:rPr>
        <w:rFonts w:ascii="Symbol" w:hAnsi="Symbol" w:hint="default"/>
        <w:caps w:val="0"/>
        <w:strike w:val="0"/>
        <w:dstrike w:val="0"/>
        <w:vanish w:val="0"/>
        <w:color w:val="AA272F"/>
        <w:u w:val="none" w:color="FFFFFF"/>
        <w:effect w:val="none"/>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BB26988"/>
    <w:multiLevelType w:val="hybridMultilevel"/>
    <w:tmpl w:val="30383902"/>
    <w:lvl w:ilvl="0" w:tplc="4AF87BBE">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914A43"/>
    <w:multiLevelType w:val="multilevel"/>
    <w:tmpl w:val="8480C8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BB92BDC"/>
    <w:multiLevelType w:val="hybridMultilevel"/>
    <w:tmpl w:val="B442D36E"/>
    <w:lvl w:ilvl="0" w:tplc="FC68B52E">
      <w:start w:val="1"/>
      <w:numFmt w:val="bullet"/>
      <w:lvlText w:val=""/>
      <w:lvlJc w:val="left"/>
      <w:pPr>
        <w:ind w:left="720" w:hanging="360"/>
      </w:pPr>
      <w:rPr>
        <w:rFonts w:ascii="Symbol" w:hAnsi="Symbol" w:hint="default"/>
        <w:caps w:val="0"/>
        <w:strike w:val="0"/>
        <w:dstrike w:val="0"/>
        <w:vanish w:val="0"/>
        <w:color w:val="AA272F"/>
        <w:u w:val="none" w:color="FFFFFF"/>
        <w:effect w:val="none"/>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1734C07"/>
    <w:multiLevelType w:val="hybridMultilevel"/>
    <w:tmpl w:val="C9FA0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D5975"/>
    <w:multiLevelType w:val="hybridMultilevel"/>
    <w:tmpl w:val="2F1E0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16CFD"/>
    <w:multiLevelType w:val="hybridMultilevel"/>
    <w:tmpl w:val="DF009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45A7A60"/>
    <w:multiLevelType w:val="hybridMultilevel"/>
    <w:tmpl w:val="3A484252"/>
    <w:lvl w:ilvl="0" w:tplc="1809000F">
      <w:start w:val="1"/>
      <w:numFmt w:val="decimal"/>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61853289">
    <w:abstractNumId w:val="7"/>
  </w:num>
  <w:num w:numId="2" w16cid:durableId="332297516">
    <w:abstractNumId w:val="0"/>
  </w:num>
  <w:num w:numId="3" w16cid:durableId="1841040729">
    <w:abstractNumId w:val="5"/>
  </w:num>
  <w:num w:numId="4" w16cid:durableId="2117362038">
    <w:abstractNumId w:val="8"/>
  </w:num>
  <w:num w:numId="5" w16cid:durableId="619998156">
    <w:abstractNumId w:val="6"/>
  </w:num>
  <w:num w:numId="6" w16cid:durableId="198322661">
    <w:abstractNumId w:val="12"/>
  </w:num>
  <w:num w:numId="7" w16cid:durableId="413670837">
    <w:abstractNumId w:val="4"/>
  </w:num>
  <w:num w:numId="8" w16cid:durableId="1671327422">
    <w:abstractNumId w:val="9"/>
  </w:num>
  <w:num w:numId="9" w16cid:durableId="2080440464">
    <w:abstractNumId w:val="11"/>
  </w:num>
  <w:num w:numId="10" w16cid:durableId="444621465">
    <w:abstractNumId w:val="1"/>
  </w:num>
  <w:num w:numId="11" w16cid:durableId="1529442634">
    <w:abstractNumId w:val="2"/>
  </w:num>
  <w:num w:numId="12" w16cid:durableId="2034846217">
    <w:abstractNumId w:val="3"/>
  </w:num>
  <w:num w:numId="13" w16cid:durableId="1406877542">
    <w:abstractNumId w:val="10"/>
  </w:num>
  <w:num w:numId="14" w16cid:durableId="3129528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29"/>
    <w:rsid w:val="00014876"/>
    <w:rsid w:val="00023746"/>
    <w:rsid w:val="00050EF5"/>
    <w:rsid w:val="000B5007"/>
    <w:rsid w:val="00136AFF"/>
    <w:rsid w:val="001A43D6"/>
    <w:rsid w:val="001E34B2"/>
    <w:rsid w:val="003140F1"/>
    <w:rsid w:val="003365D8"/>
    <w:rsid w:val="00404C65"/>
    <w:rsid w:val="00483395"/>
    <w:rsid w:val="004A4372"/>
    <w:rsid w:val="004C5D0E"/>
    <w:rsid w:val="006208D8"/>
    <w:rsid w:val="00662D14"/>
    <w:rsid w:val="00691841"/>
    <w:rsid w:val="006B6A2D"/>
    <w:rsid w:val="00717510"/>
    <w:rsid w:val="00730234"/>
    <w:rsid w:val="007B797E"/>
    <w:rsid w:val="007D5965"/>
    <w:rsid w:val="00814EA6"/>
    <w:rsid w:val="00837A29"/>
    <w:rsid w:val="00852229"/>
    <w:rsid w:val="008A09CA"/>
    <w:rsid w:val="008A614C"/>
    <w:rsid w:val="00A317A8"/>
    <w:rsid w:val="00A53541"/>
    <w:rsid w:val="00AC3E0F"/>
    <w:rsid w:val="00AE3606"/>
    <w:rsid w:val="00B31B64"/>
    <w:rsid w:val="00B665BC"/>
    <w:rsid w:val="00C12D67"/>
    <w:rsid w:val="00C34C02"/>
    <w:rsid w:val="00CC1F05"/>
    <w:rsid w:val="00CF2E33"/>
    <w:rsid w:val="00DC663A"/>
    <w:rsid w:val="00DF4308"/>
    <w:rsid w:val="00E408F4"/>
    <w:rsid w:val="00E54EE7"/>
    <w:rsid w:val="00EE59E6"/>
    <w:rsid w:val="00F820A6"/>
    <w:rsid w:val="00FA0EBC"/>
    <w:rsid w:val="00FC0A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ED0"/>
  <w15:chartTrackingRefBased/>
  <w15:docId w15:val="{80C65AF1-0B57-4746-9F84-4C23C0C1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A29"/>
    <w:pPr>
      <w:spacing w:after="240" w:line="240" w:lineRule="auto"/>
      <w:jc w:val="both"/>
    </w:pPr>
    <w:rPr>
      <w:rFonts w:ascii="Arial" w:eastAsia="Calibri" w:hAnsi="Arial" w:cs="Times New Roman"/>
      <w:sz w:val="20"/>
    </w:rPr>
  </w:style>
  <w:style w:type="paragraph" w:styleId="Heading1">
    <w:name w:val="heading 1"/>
    <w:basedOn w:val="Normal"/>
    <w:next w:val="Normal"/>
    <w:link w:val="Heading1Char"/>
    <w:uiPriority w:val="1"/>
    <w:qFormat/>
    <w:rsid w:val="00837A29"/>
    <w:pPr>
      <w:keepNext/>
      <w:keepLines/>
      <w:pageBreakBefore/>
      <w:spacing w:before="360"/>
      <w:outlineLvl w:val="0"/>
    </w:pPr>
    <w:rPr>
      <w:rFonts w:eastAsia="Times New Roman"/>
      <w:b/>
      <w:bCs/>
      <w:caps/>
      <w:color w:val="000000"/>
      <w:sz w:val="32"/>
      <w:szCs w:val="28"/>
    </w:rPr>
  </w:style>
  <w:style w:type="paragraph" w:styleId="Heading2">
    <w:name w:val="heading 2"/>
    <w:basedOn w:val="Normal"/>
    <w:next w:val="Normal"/>
    <w:link w:val="Heading2Char"/>
    <w:autoRedefine/>
    <w:uiPriority w:val="9"/>
    <w:unhideWhenUsed/>
    <w:qFormat/>
    <w:rsid w:val="00837A29"/>
    <w:pPr>
      <w:keepNext/>
      <w:keepLines/>
      <w:spacing w:before="480" w:after="200"/>
      <w:ind w:hanging="11"/>
      <w:outlineLvl w:val="1"/>
    </w:pPr>
    <w:rPr>
      <w:rFonts w:ascii="Arial Narrow" w:eastAsia="Times New Roman" w:hAnsi="Arial Narrow"/>
      <w:b/>
      <w:bCs/>
      <w:caps/>
      <w:color w:val="003478"/>
      <w:sz w:val="28"/>
      <w:szCs w:val="26"/>
    </w:rPr>
  </w:style>
  <w:style w:type="paragraph" w:styleId="Heading3">
    <w:name w:val="heading 3"/>
    <w:basedOn w:val="Normal"/>
    <w:next w:val="Normal"/>
    <w:link w:val="Heading3Char"/>
    <w:uiPriority w:val="9"/>
    <w:unhideWhenUsed/>
    <w:qFormat/>
    <w:rsid w:val="00837A29"/>
    <w:pPr>
      <w:keepNext/>
      <w:keepLines/>
      <w:numPr>
        <w:ilvl w:val="2"/>
        <w:numId w:val="1"/>
      </w:numPr>
      <w:spacing w:before="240" w:after="160"/>
      <w:outlineLvl w:val="2"/>
    </w:pPr>
    <w:rPr>
      <w:rFonts w:ascii="Arial Narrow" w:eastAsia="Times New Roman" w:hAnsi="Arial Narrow"/>
      <w:b/>
      <w:bCs/>
      <w:color w:val="990000"/>
      <w:sz w:val="24"/>
    </w:rPr>
  </w:style>
  <w:style w:type="paragraph" w:styleId="Heading4">
    <w:name w:val="heading 4"/>
    <w:basedOn w:val="Heading3"/>
    <w:next w:val="Normal"/>
    <w:link w:val="Heading4Char"/>
    <w:uiPriority w:val="9"/>
    <w:unhideWhenUsed/>
    <w:qFormat/>
    <w:rsid w:val="00837A29"/>
    <w:pPr>
      <w:numPr>
        <w:ilvl w:val="3"/>
      </w:numPr>
      <w:spacing w:after="120"/>
      <w:outlineLvl w:val="3"/>
    </w:pPr>
    <w:rPr>
      <w:b w:val="0"/>
      <w:bCs w:val="0"/>
      <w:iCs/>
      <w:color w:val="000000"/>
    </w:rPr>
  </w:style>
  <w:style w:type="paragraph" w:styleId="Heading5">
    <w:name w:val="heading 5"/>
    <w:basedOn w:val="Normal"/>
    <w:next w:val="Normal"/>
    <w:link w:val="Heading5Char"/>
    <w:uiPriority w:val="9"/>
    <w:semiHidden/>
    <w:unhideWhenUsed/>
    <w:rsid w:val="00837A2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37A2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37A29"/>
    <w:pPr>
      <w:keepNext/>
      <w:keepLines/>
      <w:numPr>
        <w:ilvl w:val="6"/>
        <w:numId w:val="1"/>
      </w:numPr>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29"/>
    <w:rPr>
      <w:rFonts w:ascii="Arial" w:eastAsia="Times New Roman" w:hAnsi="Arial" w:cs="Times New Roman"/>
      <w:b/>
      <w:bCs/>
      <w:caps/>
      <w:color w:val="000000"/>
      <w:sz w:val="32"/>
      <w:szCs w:val="28"/>
    </w:rPr>
  </w:style>
  <w:style w:type="character" w:customStyle="1" w:styleId="Heading2Char">
    <w:name w:val="Heading 2 Char"/>
    <w:basedOn w:val="DefaultParagraphFont"/>
    <w:link w:val="Heading2"/>
    <w:uiPriority w:val="9"/>
    <w:rsid w:val="00837A29"/>
    <w:rPr>
      <w:rFonts w:ascii="Arial Narrow" w:eastAsia="Times New Roman" w:hAnsi="Arial Narrow" w:cs="Times New Roman"/>
      <w:b/>
      <w:bCs/>
      <w:caps/>
      <w:color w:val="003478"/>
      <w:sz w:val="28"/>
      <w:szCs w:val="26"/>
    </w:rPr>
  </w:style>
  <w:style w:type="character" w:customStyle="1" w:styleId="Heading3Char">
    <w:name w:val="Heading 3 Char"/>
    <w:basedOn w:val="DefaultParagraphFont"/>
    <w:link w:val="Heading3"/>
    <w:uiPriority w:val="9"/>
    <w:rsid w:val="00837A29"/>
    <w:rPr>
      <w:rFonts w:ascii="Arial Narrow" w:eastAsia="Times New Roman" w:hAnsi="Arial Narrow" w:cs="Times New Roman"/>
      <w:b/>
      <w:bCs/>
      <w:color w:val="990000"/>
      <w:sz w:val="24"/>
    </w:rPr>
  </w:style>
  <w:style w:type="character" w:customStyle="1" w:styleId="Heading4Char">
    <w:name w:val="Heading 4 Char"/>
    <w:basedOn w:val="DefaultParagraphFont"/>
    <w:link w:val="Heading4"/>
    <w:uiPriority w:val="9"/>
    <w:rsid w:val="00837A29"/>
    <w:rPr>
      <w:rFonts w:ascii="Arial Narrow" w:eastAsia="Times New Roman" w:hAnsi="Arial Narrow" w:cs="Times New Roman"/>
      <w:iCs/>
      <w:color w:val="000000"/>
      <w:sz w:val="24"/>
    </w:rPr>
  </w:style>
  <w:style w:type="character" w:customStyle="1" w:styleId="Heading5Char">
    <w:name w:val="Heading 5 Char"/>
    <w:basedOn w:val="DefaultParagraphFont"/>
    <w:link w:val="Heading5"/>
    <w:uiPriority w:val="9"/>
    <w:semiHidden/>
    <w:rsid w:val="00837A29"/>
    <w:rPr>
      <w:rFonts w:ascii="Cambria" w:eastAsia="Times New Roman" w:hAnsi="Cambria" w:cs="Times New Roman"/>
      <w:color w:val="243F60"/>
      <w:sz w:val="20"/>
    </w:rPr>
  </w:style>
  <w:style w:type="character" w:customStyle="1" w:styleId="Heading6Char">
    <w:name w:val="Heading 6 Char"/>
    <w:basedOn w:val="DefaultParagraphFont"/>
    <w:link w:val="Heading6"/>
    <w:uiPriority w:val="9"/>
    <w:semiHidden/>
    <w:rsid w:val="00837A29"/>
    <w:rPr>
      <w:rFonts w:ascii="Cambria" w:eastAsia="Times New Roman" w:hAnsi="Cambria" w:cs="Times New Roman"/>
      <w:i/>
      <w:iCs/>
      <w:color w:val="243F60"/>
      <w:sz w:val="20"/>
    </w:rPr>
  </w:style>
  <w:style w:type="character" w:customStyle="1" w:styleId="Heading7Char">
    <w:name w:val="Heading 7 Char"/>
    <w:basedOn w:val="DefaultParagraphFont"/>
    <w:link w:val="Heading7"/>
    <w:uiPriority w:val="9"/>
    <w:semiHidden/>
    <w:rsid w:val="00837A29"/>
    <w:rPr>
      <w:rFonts w:ascii="Cambria" w:eastAsia="Times New Roman" w:hAnsi="Cambria" w:cs="Times New Roman"/>
      <w:i/>
      <w:iCs/>
      <w:color w:val="404040"/>
      <w:sz w:val="20"/>
    </w:rPr>
  </w:style>
  <w:style w:type="character" w:styleId="Hyperlink">
    <w:name w:val="Hyperlink"/>
    <w:uiPriority w:val="99"/>
    <w:unhideWhenUsed/>
    <w:rsid w:val="00837A29"/>
    <w:rPr>
      <w:color w:val="0000FF"/>
      <w:u w:val="single"/>
    </w:rPr>
  </w:style>
  <w:style w:type="paragraph" w:styleId="ListParagraph">
    <w:name w:val="List Paragraph"/>
    <w:basedOn w:val="Normal"/>
    <w:link w:val="ListParagraphChar"/>
    <w:uiPriority w:val="34"/>
    <w:qFormat/>
    <w:rsid w:val="00837A29"/>
    <w:pPr>
      <w:ind w:left="720"/>
      <w:contextualSpacing/>
    </w:pPr>
  </w:style>
  <w:style w:type="paragraph" w:styleId="BodyTextIndent">
    <w:name w:val="Body Text Indent"/>
    <w:basedOn w:val="Normal"/>
    <w:link w:val="BodyTextIndentChar"/>
    <w:uiPriority w:val="99"/>
    <w:unhideWhenUsed/>
    <w:rsid w:val="00837A29"/>
    <w:pPr>
      <w:spacing w:after="120"/>
      <w:ind w:left="283"/>
    </w:pPr>
    <w:rPr>
      <w:rFonts w:eastAsia="Times New Roman"/>
      <w:szCs w:val="20"/>
      <w:lang w:val="en-US" w:eastAsia="en-GB"/>
    </w:rPr>
  </w:style>
  <w:style w:type="character" w:customStyle="1" w:styleId="BodyTextIndentChar">
    <w:name w:val="Body Text Indent Char"/>
    <w:basedOn w:val="DefaultParagraphFont"/>
    <w:link w:val="BodyTextIndent"/>
    <w:uiPriority w:val="99"/>
    <w:rsid w:val="00837A29"/>
    <w:rPr>
      <w:rFonts w:ascii="Arial" w:eastAsia="Times New Roman" w:hAnsi="Arial" w:cs="Times New Roman"/>
      <w:sz w:val="20"/>
      <w:szCs w:val="20"/>
      <w:lang w:val="en-US" w:eastAsia="en-GB"/>
    </w:rPr>
  </w:style>
  <w:style w:type="character" w:styleId="CommentReference">
    <w:name w:val="annotation reference"/>
    <w:basedOn w:val="DefaultParagraphFont"/>
    <w:uiPriority w:val="99"/>
    <w:semiHidden/>
    <w:unhideWhenUsed/>
    <w:rsid w:val="00837A29"/>
    <w:rPr>
      <w:sz w:val="16"/>
      <w:szCs w:val="16"/>
    </w:rPr>
  </w:style>
  <w:style w:type="paragraph" w:styleId="CommentText">
    <w:name w:val="annotation text"/>
    <w:basedOn w:val="Normal"/>
    <w:link w:val="CommentTextChar"/>
    <w:uiPriority w:val="99"/>
    <w:semiHidden/>
    <w:unhideWhenUsed/>
    <w:rsid w:val="00837A29"/>
    <w:rPr>
      <w:szCs w:val="20"/>
    </w:rPr>
  </w:style>
  <w:style w:type="character" w:customStyle="1" w:styleId="CommentTextChar">
    <w:name w:val="Comment Text Char"/>
    <w:basedOn w:val="DefaultParagraphFont"/>
    <w:link w:val="CommentText"/>
    <w:uiPriority w:val="99"/>
    <w:semiHidden/>
    <w:rsid w:val="00837A29"/>
    <w:rPr>
      <w:rFonts w:ascii="Arial" w:eastAsia="Calibri" w:hAnsi="Arial" w:cs="Times New Roman"/>
      <w:sz w:val="20"/>
      <w:szCs w:val="20"/>
    </w:rPr>
  </w:style>
  <w:style w:type="paragraph" w:styleId="Header">
    <w:name w:val="header"/>
    <w:basedOn w:val="Normal"/>
    <w:link w:val="HeaderChar"/>
    <w:unhideWhenUsed/>
    <w:rsid w:val="00837A29"/>
    <w:pPr>
      <w:tabs>
        <w:tab w:val="center" w:pos="4513"/>
        <w:tab w:val="right" w:pos="9026"/>
      </w:tabs>
      <w:spacing w:after="0"/>
    </w:pPr>
  </w:style>
  <w:style w:type="character" w:customStyle="1" w:styleId="HeaderChar">
    <w:name w:val="Header Char"/>
    <w:basedOn w:val="DefaultParagraphFont"/>
    <w:link w:val="Header"/>
    <w:rsid w:val="00837A29"/>
    <w:rPr>
      <w:rFonts w:ascii="Arial" w:eastAsia="Calibri" w:hAnsi="Arial" w:cs="Times New Roman"/>
      <w:sz w:val="20"/>
    </w:rPr>
  </w:style>
  <w:style w:type="paragraph" w:styleId="Footer">
    <w:name w:val="footer"/>
    <w:basedOn w:val="Normal"/>
    <w:link w:val="FooterChar"/>
    <w:uiPriority w:val="99"/>
    <w:unhideWhenUsed/>
    <w:rsid w:val="00837A29"/>
    <w:pPr>
      <w:tabs>
        <w:tab w:val="center" w:pos="4513"/>
        <w:tab w:val="right" w:pos="9026"/>
      </w:tabs>
      <w:spacing w:after="0"/>
    </w:pPr>
  </w:style>
  <w:style w:type="character" w:customStyle="1" w:styleId="FooterChar">
    <w:name w:val="Footer Char"/>
    <w:basedOn w:val="DefaultParagraphFont"/>
    <w:link w:val="Footer"/>
    <w:uiPriority w:val="99"/>
    <w:rsid w:val="00837A29"/>
    <w:rPr>
      <w:rFonts w:ascii="Arial" w:eastAsia="Calibri" w:hAnsi="Arial" w:cs="Times New Roman"/>
      <w:sz w:val="20"/>
    </w:rPr>
  </w:style>
  <w:style w:type="character" w:customStyle="1" w:styleId="ListParagraphChar">
    <w:name w:val="List Paragraph Char"/>
    <w:link w:val="ListParagraph"/>
    <w:uiPriority w:val="34"/>
    <w:locked/>
    <w:rsid w:val="00E408F4"/>
    <w:rPr>
      <w:rFonts w:ascii="Arial" w:eastAsia="Calibri" w:hAnsi="Arial" w:cs="Times New Roman"/>
      <w:sz w:val="20"/>
    </w:rPr>
  </w:style>
  <w:style w:type="paragraph" w:customStyle="1" w:styleId="Bullet">
    <w:name w:val="Bullet"/>
    <w:basedOn w:val="Normal"/>
    <w:link w:val="BulletChar"/>
    <w:qFormat/>
    <w:rsid w:val="00C34C02"/>
    <w:pPr>
      <w:numPr>
        <w:numId w:val="11"/>
      </w:numPr>
      <w:spacing w:after="0"/>
      <w:jc w:val="left"/>
    </w:pPr>
    <w:rPr>
      <w:rFonts w:eastAsia="Times New Roman"/>
      <w:szCs w:val="20"/>
      <w:lang w:eastAsia="en-GB"/>
    </w:rPr>
  </w:style>
  <w:style w:type="character" w:customStyle="1" w:styleId="BulletChar">
    <w:name w:val="Bullet Char"/>
    <w:basedOn w:val="DefaultParagraphFont"/>
    <w:link w:val="Bullet"/>
    <w:rsid w:val="00C34C02"/>
    <w:rPr>
      <w:rFonts w:ascii="Arial" w:eastAsia="Times New Roman" w:hAnsi="Arial" w:cs="Times New Roman"/>
      <w:sz w:val="20"/>
      <w:szCs w:val="20"/>
      <w:lang w:eastAsia="en-GB"/>
    </w:rPr>
  </w:style>
  <w:style w:type="paragraph" w:customStyle="1" w:styleId="Default">
    <w:name w:val="Default"/>
    <w:rsid w:val="00C34C0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B5007"/>
    <w:pPr>
      <w:spacing w:before="100" w:beforeAutospacing="1" w:after="100" w:afterAutospacing="1"/>
      <w:jc w:val="left"/>
    </w:pPr>
    <w:rPr>
      <w:rFonts w:ascii="Times New Roman" w:eastAsia="Times New Roman" w:hAnsi="Times New Roman"/>
      <w:sz w:val="24"/>
      <w:szCs w:val="24"/>
      <w:lang w:eastAsia="en-IE"/>
    </w:rPr>
  </w:style>
  <w:style w:type="paragraph" w:styleId="Revision">
    <w:name w:val="Revision"/>
    <w:hidden/>
    <w:uiPriority w:val="99"/>
    <w:semiHidden/>
    <w:rsid w:val="004A4372"/>
    <w:pPr>
      <w:spacing w:after="0" w:line="240" w:lineRule="auto"/>
    </w:pPr>
    <w:rPr>
      <w:rFonts w:ascii="Arial" w:eastAsia="Calibri" w:hAnsi="Arial" w:cs="Times New Roman"/>
      <w:sz w:val="20"/>
    </w:rPr>
  </w:style>
  <w:style w:type="paragraph" w:styleId="CommentSubject">
    <w:name w:val="annotation subject"/>
    <w:basedOn w:val="CommentText"/>
    <w:next w:val="CommentText"/>
    <w:link w:val="CommentSubjectChar"/>
    <w:uiPriority w:val="99"/>
    <w:semiHidden/>
    <w:unhideWhenUsed/>
    <w:rsid w:val="004A4372"/>
    <w:rPr>
      <w:b/>
      <w:bCs/>
    </w:rPr>
  </w:style>
  <w:style w:type="character" w:customStyle="1" w:styleId="CommentSubjectChar">
    <w:name w:val="Comment Subject Char"/>
    <w:basedOn w:val="CommentTextChar"/>
    <w:link w:val="CommentSubject"/>
    <w:uiPriority w:val="99"/>
    <w:semiHidden/>
    <w:rsid w:val="004A4372"/>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glepensionscheme.gov.ie/" TargetMode="External"/><Relationship Id="rId3" Type="http://schemas.openxmlformats.org/officeDocument/2006/relationships/settings" Target="settings.xml"/><Relationship Id="rId7" Type="http://schemas.openxmlformats.org/officeDocument/2006/relationships/hyperlink" Target="http://www.hia.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Brien</dc:creator>
  <cp:keywords/>
  <dc:description/>
  <cp:lastModifiedBy>Owen McCarthy</cp:lastModifiedBy>
  <cp:revision>3</cp:revision>
  <cp:lastPrinted>2022-12-06T15:39:00Z</cp:lastPrinted>
  <dcterms:created xsi:type="dcterms:W3CDTF">2022-12-08T12:13:00Z</dcterms:created>
  <dcterms:modified xsi:type="dcterms:W3CDTF">2022-12-08T12:14:00Z</dcterms:modified>
</cp:coreProperties>
</file>